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6877" w14:textId="156BB3FA" w:rsidR="00B7325A" w:rsidRDefault="00B547EB" w:rsidP="00C24B0B">
      <w:pPr>
        <w:ind w:leftChars="60" w:left="144"/>
      </w:pPr>
      <w:r>
        <w:rPr>
          <w:noProof/>
        </w:rPr>
        <w:drawing>
          <wp:inline distT="0" distB="0" distL="0" distR="0" wp14:anchorId="5FE43FD5" wp14:editId="6A7FACA2">
            <wp:extent cx="2000250" cy="51679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9856" cy="5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A62">
        <w:rPr>
          <w:noProof/>
        </w:rPr>
        <w:drawing>
          <wp:inline distT="0" distB="0" distL="0" distR="0" wp14:anchorId="3B79F583" wp14:editId="7239A0B4">
            <wp:extent cx="6029325" cy="152416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8767" cy="155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517E2" w14:textId="77777777" w:rsidR="00174944" w:rsidRDefault="00FB234A" w:rsidP="00C24B0B">
      <w:pPr>
        <w:rPr>
          <w:rFonts w:ascii="DengXian" w:hAnsi="DengXian"/>
          <w:b/>
          <w:color w:val="538135" w:themeColor="accent6" w:themeShade="BF"/>
          <w:spacing w:val="12"/>
          <w:sz w:val="40"/>
          <w:szCs w:val="40"/>
        </w:rPr>
      </w:pPr>
      <w:r w:rsidRPr="001E79DD">
        <w:rPr>
          <w:rFonts w:ascii="DengXian" w:eastAsia="DengXian" w:hAnsi="DengXian" w:hint="eastAsia"/>
          <w:b/>
          <w:color w:val="538135" w:themeColor="accent6" w:themeShade="BF"/>
          <w:spacing w:val="12"/>
          <w:sz w:val="40"/>
          <w:szCs w:val="40"/>
        </w:rPr>
        <w:t>【</w:t>
      </w:r>
      <w:r w:rsidR="00884BDC" w:rsidRPr="001E79DD">
        <w:rPr>
          <w:rFonts w:asciiTheme="majorEastAsia" w:eastAsiaTheme="majorEastAsia" w:hAnsiTheme="majorEastAsia" w:hint="eastAsia"/>
          <w:b/>
          <w:color w:val="538135" w:themeColor="accent6" w:themeShade="BF"/>
          <w:spacing w:val="12"/>
          <w:sz w:val="40"/>
          <w:szCs w:val="40"/>
        </w:rPr>
        <w:t>可持續發展定期存款計畫</w:t>
      </w:r>
      <w:r w:rsidRPr="001E79DD">
        <w:rPr>
          <w:rFonts w:ascii="DengXian" w:eastAsia="DengXian" w:hAnsi="DengXian" w:hint="eastAsia"/>
          <w:b/>
          <w:color w:val="538135" w:themeColor="accent6" w:themeShade="BF"/>
          <w:spacing w:val="12"/>
          <w:sz w:val="40"/>
          <w:szCs w:val="40"/>
        </w:rPr>
        <w:t>】</w:t>
      </w:r>
    </w:p>
    <w:p w14:paraId="55C6DC34" w14:textId="46137FA8" w:rsidR="00FB234A" w:rsidRPr="00C24B0B" w:rsidRDefault="00422128" w:rsidP="00174944">
      <w:pPr>
        <w:ind w:firstLineChars="100" w:firstLine="344"/>
        <w:rPr>
          <w:rFonts w:asciiTheme="majorEastAsia" w:eastAsiaTheme="majorEastAsia" w:hAnsiTheme="majorEastAsia"/>
          <w:b/>
          <w:color w:val="538135" w:themeColor="accent6" w:themeShade="BF"/>
          <w:spacing w:val="12"/>
          <w:sz w:val="40"/>
          <w:szCs w:val="40"/>
        </w:rPr>
      </w:pPr>
      <w:r w:rsidRPr="00FB234A">
        <w:rPr>
          <w:rFonts w:asciiTheme="majorEastAsia" w:eastAsiaTheme="majorEastAsia" w:hAnsiTheme="majorEastAsia" w:hint="eastAsia"/>
          <w:b/>
          <w:color w:val="C45911" w:themeColor="accent2" w:themeShade="BF"/>
          <w:spacing w:val="12"/>
          <w:sz w:val="32"/>
          <w:szCs w:val="32"/>
        </w:rPr>
        <w:t>經獨立第三方</w:t>
      </w:r>
      <w:r w:rsidR="00F74139" w:rsidRPr="00F74139">
        <w:rPr>
          <w:rFonts w:asciiTheme="majorEastAsia" w:eastAsiaTheme="majorEastAsia" w:hAnsiTheme="majorEastAsia" w:hint="eastAsia"/>
          <w:b/>
          <w:color w:val="C45911" w:themeColor="accent2" w:themeShade="BF"/>
          <w:spacing w:val="12"/>
          <w:sz w:val="32"/>
          <w:szCs w:val="32"/>
        </w:rPr>
        <w:t>認證</w:t>
      </w:r>
      <w:proofErr w:type="gramStart"/>
      <w:r w:rsidR="00F74139" w:rsidRPr="00F74139">
        <w:rPr>
          <w:rFonts w:asciiTheme="majorEastAsia" w:eastAsiaTheme="majorEastAsia" w:hAnsiTheme="majorEastAsia" w:hint="eastAsia"/>
          <w:b/>
          <w:color w:val="C45911" w:themeColor="accent2" w:themeShade="BF"/>
          <w:spacing w:val="12"/>
          <w:sz w:val="32"/>
          <w:szCs w:val="32"/>
        </w:rPr>
        <w:t>機構</w:t>
      </w:r>
      <w:r w:rsidRPr="00FB234A">
        <w:rPr>
          <w:rFonts w:asciiTheme="majorEastAsia" w:eastAsiaTheme="majorEastAsia" w:hAnsiTheme="majorEastAsia"/>
          <w:b/>
          <w:color w:val="C45911" w:themeColor="accent2" w:themeShade="BF"/>
          <w:spacing w:val="12"/>
          <w:sz w:val="32"/>
          <w:szCs w:val="32"/>
        </w:rPr>
        <w:t>鑒證</w:t>
      </w:r>
      <w:proofErr w:type="gramEnd"/>
      <w:r w:rsidRPr="00FB234A">
        <w:rPr>
          <w:rFonts w:asciiTheme="majorEastAsia" w:eastAsiaTheme="majorEastAsia" w:hAnsiTheme="majorEastAsia" w:hint="eastAsia"/>
          <w:b/>
          <w:color w:val="C45911" w:themeColor="accent2" w:themeShade="BF"/>
          <w:spacing w:val="12"/>
          <w:sz w:val="32"/>
          <w:szCs w:val="32"/>
        </w:rPr>
        <w:t>*</w:t>
      </w:r>
    </w:p>
    <w:p w14:paraId="70CB642C" w14:textId="14B9602F" w:rsidR="00422128" w:rsidRPr="001E79DD" w:rsidRDefault="00FB234A" w:rsidP="003D2806">
      <w:pPr>
        <w:ind w:firstLineChars="59" w:firstLine="180"/>
        <w:rPr>
          <w:rFonts w:asciiTheme="majorEastAsia" w:eastAsiaTheme="majorEastAsia" w:hAnsiTheme="majorEastAsia"/>
          <w:b/>
          <w:color w:val="538135" w:themeColor="accent6" w:themeShade="BF"/>
          <w:spacing w:val="12"/>
          <w:sz w:val="32"/>
          <w:szCs w:val="32"/>
        </w:rPr>
      </w:pPr>
      <w:r w:rsidRPr="00F26856">
        <w:rPr>
          <w:rFonts w:asciiTheme="majorEastAsia" w:eastAsiaTheme="majorEastAsia" w:hAnsiTheme="majorEastAsia" w:hint="eastAsia"/>
          <w:b/>
          <w:color w:val="538135" w:themeColor="accent6" w:themeShade="BF"/>
          <w:spacing w:val="12"/>
          <w:sz w:val="28"/>
          <w:szCs w:val="28"/>
        </w:rPr>
        <w:t>計畫目的</w:t>
      </w:r>
    </w:p>
    <w:p w14:paraId="6F0937C5" w14:textId="5540CF2A" w:rsidR="00FB234A" w:rsidRPr="00F26856" w:rsidRDefault="00884BDC" w:rsidP="001E79DD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F26856">
        <w:rPr>
          <w:rFonts w:asciiTheme="majorEastAsia" w:eastAsiaTheme="majorEastAsia" w:hAnsiTheme="majorEastAsia"/>
          <w:szCs w:val="24"/>
        </w:rPr>
        <w:t>為響應香港2050年前實現碳中和目標，以及履行金融機構對於可持續發展的共同目標</w:t>
      </w:r>
      <w:r w:rsidRPr="00F26856">
        <w:rPr>
          <w:rFonts w:asciiTheme="majorEastAsia" w:eastAsiaTheme="majorEastAsia" w:hAnsiTheme="majorEastAsia" w:hint="eastAsia"/>
          <w:szCs w:val="24"/>
        </w:rPr>
        <w:t>，自</w:t>
      </w:r>
      <w:r w:rsidRPr="004926FC">
        <w:rPr>
          <w:rFonts w:asciiTheme="majorEastAsia" w:eastAsiaTheme="majorEastAsia" w:hAnsiTheme="majorEastAsia"/>
          <w:szCs w:val="24"/>
        </w:rPr>
        <w:t>2023</w:t>
      </w:r>
      <w:r w:rsidRPr="004926FC">
        <w:rPr>
          <w:rFonts w:asciiTheme="majorEastAsia" w:eastAsiaTheme="majorEastAsia" w:hAnsiTheme="majorEastAsia" w:hint="eastAsia"/>
          <w:szCs w:val="24"/>
        </w:rPr>
        <w:t>年</w:t>
      </w:r>
      <w:r w:rsidR="000748D5">
        <w:rPr>
          <w:rFonts w:asciiTheme="majorEastAsia" w:eastAsia="DengXian" w:hAnsiTheme="majorEastAsia"/>
          <w:szCs w:val="24"/>
        </w:rPr>
        <w:t>6</w:t>
      </w:r>
      <w:r w:rsidRPr="004926FC">
        <w:rPr>
          <w:rFonts w:asciiTheme="majorEastAsia" w:eastAsiaTheme="majorEastAsia" w:hAnsiTheme="majorEastAsia" w:hint="eastAsia"/>
          <w:szCs w:val="24"/>
        </w:rPr>
        <w:t>月</w:t>
      </w:r>
      <w:r w:rsidR="004926FC" w:rsidRPr="004926FC">
        <w:rPr>
          <w:rFonts w:asciiTheme="majorEastAsia" w:eastAsiaTheme="majorEastAsia" w:hAnsiTheme="majorEastAsia" w:hint="eastAsia"/>
          <w:szCs w:val="24"/>
        </w:rPr>
        <w:t>1</w:t>
      </w:r>
      <w:r w:rsidRPr="004926FC">
        <w:rPr>
          <w:rFonts w:asciiTheme="majorEastAsia" w:eastAsiaTheme="majorEastAsia" w:hAnsiTheme="majorEastAsia" w:hint="eastAsia"/>
          <w:szCs w:val="24"/>
        </w:rPr>
        <w:t>日</w:t>
      </w:r>
      <w:r w:rsidRPr="00F26856">
        <w:rPr>
          <w:rFonts w:asciiTheme="majorEastAsia" w:eastAsiaTheme="majorEastAsia" w:hAnsiTheme="majorEastAsia" w:hint="eastAsia"/>
          <w:szCs w:val="24"/>
        </w:rPr>
        <w:t>起</w:t>
      </w:r>
      <w:r w:rsidR="00422128" w:rsidRPr="00F26856">
        <w:rPr>
          <w:rFonts w:asciiTheme="majorEastAsia" w:eastAsiaTheme="majorEastAsia" w:hAnsiTheme="majorEastAsia" w:hint="eastAsia"/>
          <w:szCs w:val="24"/>
        </w:rPr>
        <w:t>永豐銀行香港分行</w:t>
      </w:r>
      <w:r w:rsidR="00422128" w:rsidRPr="00F26856">
        <w:rPr>
          <w:rFonts w:asciiTheme="majorEastAsia" w:eastAsiaTheme="majorEastAsia" w:hAnsiTheme="majorEastAsia"/>
          <w:szCs w:val="24"/>
        </w:rPr>
        <w:t>推出</w:t>
      </w:r>
      <w:r w:rsidR="00422128" w:rsidRPr="00F26856">
        <w:rPr>
          <w:rFonts w:asciiTheme="majorEastAsia" w:eastAsiaTheme="majorEastAsia" w:hAnsiTheme="majorEastAsia" w:hint="eastAsia"/>
          <w:szCs w:val="24"/>
        </w:rPr>
        <w:t>「</w:t>
      </w:r>
      <w:r w:rsidR="00422128" w:rsidRPr="00F26856">
        <w:rPr>
          <w:rFonts w:asciiTheme="majorEastAsia" w:eastAsiaTheme="majorEastAsia" w:hAnsiTheme="majorEastAsia"/>
          <w:szCs w:val="24"/>
        </w:rPr>
        <w:t>可持續發展</w:t>
      </w:r>
      <w:r w:rsidR="00EE7250" w:rsidRPr="00EE7250">
        <w:rPr>
          <w:rFonts w:asciiTheme="majorEastAsia" w:eastAsiaTheme="majorEastAsia" w:hAnsiTheme="majorEastAsia" w:hint="eastAsia"/>
          <w:szCs w:val="24"/>
        </w:rPr>
        <w:t>定期</w:t>
      </w:r>
      <w:r w:rsidR="00422128" w:rsidRPr="00F26856">
        <w:rPr>
          <w:rFonts w:asciiTheme="majorEastAsia" w:eastAsiaTheme="majorEastAsia" w:hAnsiTheme="majorEastAsia"/>
          <w:szCs w:val="24"/>
        </w:rPr>
        <w:t>存款</w:t>
      </w:r>
      <w:r w:rsidR="00EE7250" w:rsidRPr="00EE7250">
        <w:rPr>
          <w:rFonts w:asciiTheme="majorEastAsia" w:eastAsiaTheme="majorEastAsia" w:hAnsiTheme="majorEastAsia" w:hint="eastAsia"/>
          <w:szCs w:val="24"/>
        </w:rPr>
        <w:t>計畫</w:t>
      </w:r>
      <w:r w:rsidR="00422128" w:rsidRPr="00F26856">
        <w:rPr>
          <w:rFonts w:asciiTheme="majorEastAsia" w:eastAsiaTheme="majorEastAsia" w:hAnsiTheme="majorEastAsia" w:hint="eastAsia"/>
          <w:szCs w:val="24"/>
        </w:rPr>
        <w:t>」</w:t>
      </w:r>
      <w:r w:rsidR="00FB234A" w:rsidRPr="00F26856">
        <w:rPr>
          <w:rFonts w:asciiTheme="majorEastAsia" w:eastAsiaTheme="majorEastAsia" w:hAnsiTheme="majorEastAsia" w:hint="eastAsia"/>
          <w:szCs w:val="24"/>
        </w:rPr>
        <w:t>。</w:t>
      </w:r>
    </w:p>
    <w:p w14:paraId="5EB79BE4" w14:textId="38AA04CD" w:rsidR="00F26856" w:rsidRPr="00B547EB" w:rsidRDefault="006B7E30" w:rsidP="00F2685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Cs w:val="24"/>
        </w:rPr>
      </w:pPr>
      <w:r w:rsidRPr="00926122">
        <w:rPr>
          <w:rFonts w:asciiTheme="majorEastAsia" w:eastAsiaTheme="majorEastAsia" w:hAnsiTheme="majorEastAsia" w:hint="eastAsia"/>
          <w:szCs w:val="24"/>
        </w:rPr>
        <w:t>為</w:t>
      </w:r>
      <w:r w:rsidR="00422128" w:rsidRPr="00926122">
        <w:rPr>
          <w:rFonts w:asciiTheme="majorEastAsia" w:eastAsiaTheme="majorEastAsia" w:hAnsiTheme="majorEastAsia"/>
          <w:szCs w:val="24"/>
        </w:rPr>
        <w:t>支</w:t>
      </w:r>
      <w:r w:rsidR="00422128" w:rsidRPr="00926122">
        <w:rPr>
          <w:rFonts w:asciiTheme="majorEastAsia" w:eastAsiaTheme="majorEastAsia" w:hAnsiTheme="majorEastAsia" w:hint="eastAsia"/>
          <w:szCs w:val="24"/>
        </w:rPr>
        <w:t>持在</w:t>
      </w:r>
      <w:r w:rsidR="00422128" w:rsidRPr="00926122">
        <w:rPr>
          <w:rFonts w:asciiTheme="majorEastAsia" w:eastAsiaTheme="majorEastAsia" w:hAnsiTheme="majorEastAsia"/>
          <w:szCs w:val="24"/>
        </w:rPr>
        <w:t>環境保護、可再生能源、效能提升、</w:t>
      </w:r>
      <w:r w:rsidR="00422128" w:rsidRPr="00926122">
        <w:rPr>
          <w:rFonts w:asciiTheme="majorEastAsia" w:eastAsiaTheme="majorEastAsia" w:hAnsiTheme="majorEastAsia" w:hint="eastAsia"/>
          <w:szCs w:val="24"/>
        </w:rPr>
        <w:t>循環經濟</w:t>
      </w:r>
      <w:r w:rsidR="00422128" w:rsidRPr="00926122">
        <w:rPr>
          <w:rFonts w:asciiTheme="majorEastAsia" w:eastAsiaTheme="majorEastAsia" w:hAnsiTheme="majorEastAsia"/>
          <w:szCs w:val="24"/>
        </w:rPr>
        <w:t>系統等</w:t>
      </w:r>
      <w:r w:rsidR="00422128" w:rsidRPr="00926122">
        <w:rPr>
          <w:rFonts w:asciiTheme="majorEastAsia" w:eastAsiaTheme="majorEastAsia" w:hAnsiTheme="majorEastAsia" w:hint="eastAsia"/>
          <w:szCs w:val="24"/>
        </w:rPr>
        <w:t>具</w:t>
      </w:r>
      <w:r w:rsidR="00422128" w:rsidRPr="00926122">
        <w:rPr>
          <w:rFonts w:asciiTheme="majorEastAsia" w:eastAsiaTheme="majorEastAsia" w:hAnsiTheme="majorEastAsia"/>
          <w:szCs w:val="24"/>
        </w:rPr>
        <w:t>綠色</w:t>
      </w:r>
      <w:r w:rsidR="00422128" w:rsidRPr="00926122">
        <w:rPr>
          <w:rFonts w:asciiTheme="majorEastAsia" w:eastAsiaTheme="majorEastAsia" w:hAnsiTheme="majorEastAsia" w:hint="eastAsia"/>
          <w:szCs w:val="24"/>
        </w:rPr>
        <w:t>、</w:t>
      </w:r>
      <w:r w:rsidR="00422128" w:rsidRPr="00926122">
        <w:rPr>
          <w:rFonts w:asciiTheme="majorEastAsia" w:eastAsiaTheme="majorEastAsia" w:hAnsiTheme="majorEastAsia"/>
          <w:szCs w:val="24"/>
        </w:rPr>
        <w:t>社會效益之相關產業</w:t>
      </w:r>
      <w:r w:rsidR="00422128" w:rsidRPr="00926122">
        <w:rPr>
          <w:rFonts w:asciiTheme="majorEastAsia" w:eastAsiaTheme="majorEastAsia" w:hAnsiTheme="majorEastAsia" w:hint="eastAsia"/>
          <w:szCs w:val="24"/>
        </w:rPr>
        <w:t>，與客戶共同實踐ESG理念。</w:t>
      </w:r>
    </w:p>
    <w:p w14:paraId="00598F20" w14:textId="26ABB016" w:rsidR="00BA2F65" w:rsidRPr="00F26856" w:rsidRDefault="00BA2F65" w:rsidP="00FB234A">
      <w:pPr>
        <w:ind w:firstLineChars="59" w:firstLine="180"/>
        <w:rPr>
          <w:rFonts w:asciiTheme="majorEastAsia" w:eastAsiaTheme="majorEastAsia" w:hAnsiTheme="majorEastAsia"/>
          <w:b/>
          <w:color w:val="538135" w:themeColor="accent6" w:themeShade="BF"/>
          <w:spacing w:val="12"/>
          <w:sz w:val="28"/>
          <w:szCs w:val="28"/>
        </w:rPr>
      </w:pPr>
      <w:r w:rsidRPr="00F26856">
        <w:rPr>
          <w:rFonts w:asciiTheme="majorEastAsia" w:eastAsiaTheme="majorEastAsia" w:hAnsiTheme="majorEastAsia" w:hint="eastAsia"/>
          <w:b/>
          <w:color w:val="538135" w:themeColor="accent6" w:themeShade="BF"/>
          <w:spacing w:val="12"/>
          <w:sz w:val="28"/>
          <w:szCs w:val="28"/>
        </w:rPr>
        <w:t>計畫内容</w:t>
      </w:r>
      <w:r w:rsidR="00FB234A" w:rsidRPr="00F26856">
        <w:rPr>
          <w:rFonts w:asciiTheme="majorEastAsia" w:eastAsiaTheme="majorEastAsia" w:hAnsiTheme="majorEastAsia" w:hint="eastAsia"/>
          <w:b/>
          <w:color w:val="538135" w:themeColor="accent6" w:themeShade="BF"/>
          <w:spacing w:val="12"/>
          <w:sz w:val="28"/>
          <w:szCs w:val="28"/>
        </w:rPr>
        <w:t>（計畫名額有限，額滿即止）</w:t>
      </w:r>
    </w:p>
    <w:tbl>
      <w:tblPr>
        <w:tblStyle w:val="a4"/>
        <w:tblW w:w="9576" w:type="dxa"/>
        <w:tblInd w:w="279" w:type="dxa"/>
        <w:tblLook w:val="04A0" w:firstRow="1" w:lastRow="0" w:firstColumn="1" w:lastColumn="0" w:noHBand="0" w:noVBand="1"/>
      </w:tblPr>
      <w:tblGrid>
        <w:gridCol w:w="2636"/>
        <w:gridCol w:w="6940"/>
      </w:tblGrid>
      <w:tr w:rsidR="00BA2F65" w:rsidRPr="00FB234A" w14:paraId="4D87D134" w14:textId="77777777" w:rsidTr="00F26856">
        <w:trPr>
          <w:trHeight w:val="580"/>
        </w:trPr>
        <w:tc>
          <w:tcPr>
            <w:tcW w:w="2636" w:type="dxa"/>
            <w:vAlign w:val="center"/>
          </w:tcPr>
          <w:p w14:paraId="7DB3F4C1" w14:textId="119E7093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適用客戶</w:t>
            </w:r>
            <w:r w:rsidR="00FB234A"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7BC19BED" w14:textId="2F0C9099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永豐銀行香港分行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企業戶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理財客戶</w:t>
            </w:r>
          </w:p>
        </w:tc>
      </w:tr>
      <w:tr w:rsidR="00FB234A" w:rsidRPr="00FB234A" w14:paraId="1E2DE1A5" w14:textId="77777777" w:rsidTr="00F26856">
        <w:trPr>
          <w:trHeight w:val="580"/>
        </w:trPr>
        <w:tc>
          <w:tcPr>
            <w:tcW w:w="2636" w:type="dxa"/>
            <w:vAlign w:val="center"/>
          </w:tcPr>
          <w:p w14:paraId="1460BACD" w14:textId="4CE67634" w:rsidR="00FB234A" w:rsidRPr="00F26856" w:rsidRDefault="00FB234A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資金支持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產業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5DEB1267" w14:textId="02CC675A" w:rsidR="00FB234A" w:rsidRPr="00F26856" w:rsidRDefault="00FB234A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/>
                <w:szCs w:val="24"/>
              </w:rPr>
              <w:t>可再生能源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效能提升、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循環經濟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系統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F26856">
              <w:rPr>
                <w:rFonts w:asciiTheme="majorEastAsia" w:eastAsiaTheme="majorEastAsia" w:hAnsiTheme="majorEastAsia"/>
                <w:szCs w:val="24"/>
              </w:rPr>
              <w:t>環境保護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</w:tc>
      </w:tr>
      <w:tr w:rsidR="00BA2F65" w:rsidRPr="00FB234A" w14:paraId="4D4D2877" w14:textId="77777777" w:rsidTr="00F26856">
        <w:trPr>
          <w:trHeight w:val="647"/>
        </w:trPr>
        <w:tc>
          <w:tcPr>
            <w:tcW w:w="2636" w:type="dxa"/>
            <w:vAlign w:val="center"/>
          </w:tcPr>
          <w:p w14:paraId="6E718657" w14:textId="48F6D906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F26856">
              <w:rPr>
                <w:rFonts w:asciiTheme="majorEastAsia" w:eastAsiaTheme="majorEastAsia" w:hAnsiTheme="majorEastAsia" w:hint="eastAsia"/>
                <w:szCs w:val="24"/>
              </w:rPr>
              <w:t>起存金額</w:t>
            </w:r>
            <w:proofErr w:type="gramEnd"/>
            <w:r w:rsidR="00FB234A"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143B9844" w14:textId="1ACD16F8" w:rsidR="00BA2F65" w:rsidRPr="00F26856" w:rsidRDefault="00FB234A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新資金</w:t>
            </w:r>
            <w:r w:rsidR="00BA2F65" w:rsidRPr="00F26856">
              <w:rPr>
                <w:rFonts w:asciiTheme="majorEastAsia" w:eastAsiaTheme="majorEastAsia" w:hAnsiTheme="majorEastAsia"/>
                <w:szCs w:val="24"/>
              </w:rPr>
              <w:t>美元</w:t>
            </w:r>
            <w:r w:rsidR="00BA2F65" w:rsidRPr="00F2685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A2F65" w:rsidRPr="00F26856">
              <w:rPr>
                <w:rFonts w:asciiTheme="majorEastAsia" w:eastAsiaTheme="majorEastAsia" w:hAnsiTheme="majorEastAsia"/>
                <w:szCs w:val="24"/>
              </w:rPr>
              <w:t>50萬</w:t>
            </w:r>
            <w:r w:rsidR="00BA2F65" w:rsidRPr="00F26856">
              <w:rPr>
                <w:rFonts w:asciiTheme="majorEastAsia" w:eastAsiaTheme="majorEastAsia" w:hAnsiTheme="majorEastAsia" w:hint="eastAsia"/>
                <w:szCs w:val="24"/>
              </w:rPr>
              <w:t>） 、</w:t>
            </w:r>
            <w:r w:rsidRPr="00F26856">
              <w:rPr>
                <w:rFonts w:asciiTheme="majorEastAsia" w:eastAsiaTheme="majorEastAsia" w:hAnsiTheme="majorEastAsia" w:hint="eastAsia"/>
                <w:szCs w:val="24"/>
              </w:rPr>
              <w:t>新資金</w:t>
            </w:r>
            <w:r w:rsidR="00BA2F65" w:rsidRPr="00F26856">
              <w:rPr>
                <w:rFonts w:asciiTheme="majorEastAsia" w:eastAsiaTheme="majorEastAsia" w:hAnsiTheme="majorEastAsia"/>
                <w:szCs w:val="24"/>
              </w:rPr>
              <w:t>港幣</w:t>
            </w:r>
            <w:r w:rsidR="00BA2F65" w:rsidRPr="00F2685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A2F65" w:rsidRPr="00F26856">
              <w:rPr>
                <w:rFonts w:asciiTheme="majorEastAsia" w:eastAsiaTheme="majorEastAsia" w:hAnsiTheme="majorEastAsia"/>
                <w:szCs w:val="24"/>
              </w:rPr>
              <w:t>390萬</w:t>
            </w:r>
            <w:r w:rsidR="00BA2F65" w:rsidRPr="00F26856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BA2F65" w:rsidRPr="00FB234A" w14:paraId="158019C1" w14:textId="77777777" w:rsidTr="00F26856">
        <w:trPr>
          <w:trHeight w:val="580"/>
        </w:trPr>
        <w:tc>
          <w:tcPr>
            <w:tcW w:w="2636" w:type="dxa"/>
            <w:vAlign w:val="center"/>
          </w:tcPr>
          <w:p w14:paraId="24164D2D" w14:textId="405179AA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存款期限</w:t>
            </w:r>
            <w:r w:rsidR="00FB234A"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069B7910" w14:textId="452B8DAA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3個月、6個月</w:t>
            </w:r>
          </w:p>
        </w:tc>
      </w:tr>
      <w:tr w:rsidR="00BA2F65" w:rsidRPr="00FB234A" w14:paraId="64D23A27" w14:textId="77777777" w:rsidTr="00F26856">
        <w:trPr>
          <w:trHeight w:val="553"/>
        </w:trPr>
        <w:tc>
          <w:tcPr>
            <w:tcW w:w="2636" w:type="dxa"/>
            <w:vAlign w:val="center"/>
          </w:tcPr>
          <w:p w14:paraId="72CB11A9" w14:textId="10B54F1E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</w:rPr>
              <w:t>定期利率</w:t>
            </w:r>
            <w:r w:rsidR="00FB234A"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73718397" w14:textId="03EC2E7B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268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個案</w:t>
            </w:r>
            <w:r w:rsidR="00FB234A" w:rsidRPr="00F268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議價訂定</w:t>
            </w:r>
          </w:p>
        </w:tc>
      </w:tr>
      <w:tr w:rsidR="00BA2F65" w:rsidRPr="00FB234A" w14:paraId="04714239" w14:textId="77777777" w:rsidTr="00F26856">
        <w:trPr>
          <w:trHeight w:val="448"/>
        </w:trPr>
        <w:tc>
          <w:tcPr>
            <w:tcW w:w="2636" w:type="dxa"/>
            <w:vAlign w:val="center"/>
          </w:tcPr>
          <w:p w14:paraId="6E68CAC4" w14:textId="16A8FC01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/>
                <w:szCs w:val="24"/>
              </w:rPr>
              <w:t>受理方式</w:t>
            </w:r>
            <w:r w:rsidR="00FB234A" w:rsidRPr="00F268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940" w:type="dxa"/>
            <w:vAlign w:val="center"/>
          </w:tcPr>
          <w:p w14:paraId="4537B03F" w14:textId="0CC1EBCD" w:rsidR="00BA2F65" w:rsidRPr="00F26856" w:rsidRDefault="00BA2F65" w:rsidP="00FB234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26856">
              <w:rPr>
                <w:rFonts w:asciiTheme="majorEastAsia" w:eastAsiaTheme="majorEastAsia" w:hAnsiTheme="majorEastAsia"/>
                <w:szCs w:val="24"/>
              </w:rPr>
              <w:t>請洽詢所屬客戶經理</w:t>
            </w:r>
          </w:p>
        </w:tc>
      </w:tr>
    </w:tbl>
    <w:p w14:paraId="1ACC07AC" w14:textId="77777777" w:rsidR="00783CBA" w:rsidRPr="000748D5" w:rsidRDefault="00783CBA" w:rsidP="00C24B0B">
      <w:pPr>
        <w:rPr>
          <w:sz w:val="22"/>
        </w:rPr>
      </w:pPr>
    </w:p>
    <w:p w14:paraId="7405164F" w14:textId="7AF351E5" w:rsidR="00BA2F65" w:rsidRDefault="00F26856" w:rsidP="003D2806">
      <w:pPr>
        <w:ind w:firstLineChars="59" w:firstLine="130"/>
        <w:rPr>
          <w:sz w:val="22"/>
        </w:rPr>
      </w:pPr>
      <w:proofErr w:type="gramStart"/>
      <w:r w:rsidRPr="00C24B0B">
        <w:rPr>
          <w:sz w:val="22"/>
        </w:rPr>
        <w:t>註</w:t>
      </w:r>
      <w:proofErr w:type="gramEnd"/>
      <w:r w:rsidRPr="00C24B0B">
        <w:rPr>
          <w:rFonts w:hint="eastAsia"/>
          <w:sz w:val="22"/>
        </w:rPr>
        <w:t>：</w:t>
      </w:r>
      <w:r w:rsidRPr="00C24B0B">
        <w:rPr>
          <w:rFonts w:hint="eastAsia"/>
          <w:sz w:val="22"/>
        </w:rPr>
        <w:t>*</w:t>
      </w:r>
      <w:r w:rsidR="00174944" w:rsidRPr="00174944">
        <w:rPr>
          <w:rFonts w:hint="eastAsia"/>
          <w:sz w:val="22"/>
        </w:rPr>
        <w:t>此計畫</w:t>
      </w:r>
      <w:r w:rsidR="000748D5" w:rsidRPr="000748D5">
        <w:rPr>
          <w:rFonts w:hint="eastAsia"/>
          <w:sz w:val="22"/>
        </w:rPr>
        <w:t>已經</w:t>
      </w:r>
      <w:r w:rsidR="00174944" w:rsidRPr="00174944">
        <w:rPr>
          <w:rFonts w:hint="eastAsia"/>
          <w:sz w:val="22"/>
        </w:rPr>
        <w:t>獨立第三方專業認證機構</w:t>
      </w:r>
      <w:proofErr w:type="gramStart"/>
      <w:r w:rsidR="00174944" w:rsidRPr="00174944">
        <w:rPr>
          <w:rFonts w:hint="eastAsia"/>
          <w:sz w:val="22"/>
        </w:rPr>
        <w:t>進行鑒證</w:t>
      </w:r>
      <w:proofErr w:type="gramEnd"/>
      <w:r w:rsidR="00174944" w:rsidRPr="00174944">
        <w:rPr>
          <w:rFonts w:hint="eastAsia"/>
          <w:sz w:val="22"/>
        </w:rPr>
        <w:t>，並發出發行</w:t>
      </w:r>
      <w:proofErr w:type="gramStart"/>
      <w:r w:rsidR="00174944" w:rsidRPr="00174944">
        <w:rPr>
          <w:rFonts w:hint="eastAsia"/>
          <w:sz w:val="22"/>
        </w:rPr>
        <w:t>前鑒證</w:t>
      </w:r>
      <w:proofErr w:type="gramEnd"/>
      <w:r w:rsidR="00174944" w:rsidRPr="00174944">
        <w:rPr>
          <w:rFonts w:hint="eastAsia"/>
          <w:sz w:val="22"/>
        </w:rPr>
        <w:t>報告。</w:t>
      </w:r>
    </w:p>
    <w:p w14:paraId="31435465" w14:textId="3E1A6506" w:rsidR="00C24B0B" w:rsidRDefault="00C24B0B" w:rsidP="003D2806">
      <w:pPr>
        <w:ind w:firstLineChars="59" w:firstLine="130"/>
        <w:rPr>
          <w:sz w:val="22"/>
        </w:rPr>
      </w:pPr>
    </w:p>
    <w:p w14:paraId="15A26AE1" w14:textId="480A86C9" w:rsidR="00C24B0B" w:rsidRPr="00F74139" w:rsidRDefault="008259AD" w:rsidP="00F74139">
      <w:pPr>
        <w:rPr>
          <w:rFonts w:asciiTheme="minorEastAsia" w:hAnsiTheme="minorEastAsia"/>
          <w:sz w:val="22"/>
        </w:rPr>
      </w:pPr>
      <w:r w:rsidRPr="00F74139">
        <w:rPr>
          <w:rFonts w:asciiTheme="minorEastAsia" w:hAnsiTheme="minorEastAsia" w:hint="eastAsia"/>
          <w:sz w:val="22"/>
        </w:rPr>
        <w:t>推廣優化條款及細則</w:t>
      </w:r>
      <w:r w:rsidR="00C24B0B" w:rsidRPr="00F74139">
        <w:rPr>
          <w:rFonts w:asciiTheme="minorEastAsia" w:hAnsiTheme="minorEastAsia" w:hint="eastAsia"/>
          <w:sz w:val="22"/>
        </w:rPr>
        <w:t>：</w:t>
      </w:r>
    </w:p>
    <w:p w14:paraId="0794E3B5" w14:textId="77E03E3C" w:rsidR="00C24B0B" w:rsidRPr="006E1B24" w:rsidRDefault="008259AD" w:rsidP="008259AD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 w:rsidRPr="006E1B24">
        <w:rPr>
          <w:rFonts w:asciiTheme="minorEastAsia" w:hAnsiTheme="minorEastAsia" w:hint="eastAsia"/>
          <w:sz w:val="22"/>
        </w:rPr>
        <w:t>本</w:t>
      </w:r>
      <w:proofErr w:type="gramStart"/>
      <w:r w:rsidRPr="006E1B24">
        <w:rPr>
          <w:rFonts w:asciiTheme="minorEastAsia" w:hAnsiTheme="minorEastAsia" w:hint="eastAsia"/>
          <w:sz w:val="22"/>
        </w:rPr>
        <w:t>專案</w:t>
      </w:r>
      <w:r w:rsidR="00C24B0B" w:rsidRPr="006E1B24">
        <w:rPr>
          <w:rFonts w:asciiTheme="minorEastAsia" w:hAnsiTheme="minorEastAsia" w:hint="eastAsia"/>
          <w:sz w:val="22"/>
        </w:rPr>
        <w:t>均</w:t>
      </w:r>
      <w:r w:rsidRPr="006E1B24">
        <w:rPr>
          <w:rFonts w:asciiTheme="minorEastAsia" w:hAnsiTheme="minorEastAsia" w:hint="eastAsia"/>
          <w:sz w:val="22"/>
        </w:rPr>
        <w:t>受相關</w:t>
      </w:r>
      <w:proofErr w:type="gramEnd"/>
      <w:r w:rsidRPr="006E1B24">
        <w:rPr>
          <w:rFonts w:asciiTheme="minorEastAsia" w:hAnsiTheme="minorEastAsia" w:hint="eastAsia"/>
          <w:sz w:val="22"/>
        </w:rPr>
        <w:t>條款及細則約束</w:t>
      </w:r>
      <w:r w:rsidR="002555AD" w:rsidRPr="006E1B24">
        <w:rPr>
          <w:rFonts w:asciiTheme="minorEastAsia" w:hAnsiTheme="minorEastAsia" w:hint="eastAsia"/>
          <w:sz w:val="22"/>
        </w:rPr>
        <w:t>，</w:t>
      </w:r>
      <w:r w:rsidR="002555AD" w:rsidRPr="002555AD">
        <w:rPr>
          <w:rFonts w:asciiTheme="minorEastAsia" w:hAnsiTheme="minorEastAsia" w:hint="eastAsia"/>
          <w:sz w:val="22"/>
        </w:rPr>
        <w:t>詳情請向</w:t>
      </w:r>
      <w:r w:rsidR="002555AD" w:rsidRPr="002555AD">
        <w:rPr>
          <w:rFonts w:asciiTheme="minorEastAsia" w:hAnsiTheme="minorEastAsia"/>
          <w:sz w:val="22"/>
        </w:rPr>
        <w:t>所屬客戶經理</w:t>
      </w:r>
      <w:r w:rsidR="002555AD" w:rsidRPr="002555AD">
        <w:rPr>
          <w:rFonts w:asciiTheme="minorEastAsia" w:hAnsiTheme="minorEastAsia" w:hint="eastAsia"/>
          <w:sz w:val="22"/>
        </w:rPr>
        <w:t>查詢。</w:t>
      </w:r>
    </w:p>
    <w:p w14:paraId="2E90DDC1" w14:textId="25ACB551" w:rsidR="00C24B0B" w:rsidRPr="006E1B24" w:rsidRDefault="006E1B24" w:rsidP="00AB3945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 w:rsidRPr="006E1B24">
        <w:rPr>
          <w:rFonts w:asciiTheme="minorEastAsia" w:hAnsiTheme="minorEastAsia" w:hint="eastAsia"/>
          <w:sz w:val="22"/>
        </w:rPr>
        <w:t>有關客戶的申請必須符合永豐銀行香港分行的要求，本行保留隨時修訂、暫</w:t>
      </w:r>
      <w:r w:rsidR="00202A74" w:rsidRPr="00A01575">
        <w:rPr>
          <w:rFonts w:asciiTheme="minorEastAsia" w:hAnsiTheme="minorEastAsia" w:hint="eastAsia"/>
          <w:sz w:val="22"/>
        </w:rPr>
        <w:t>停</w:t>
      </w:r>
      <w:r w:rsidRPr="006E1B24">
        <w:rPr>
          <w:rFonts w:asciiTheme="minorEastAsia" w:hAnsiTheme="minorEastAsia" w:hint="eastAsia"/>
          <w:sz w:val="22"/>
        </w:rPr>
        <w:t>或取消本專案。</w:t>
      </w:r>
      <w:r w:rsidR="009A6F81" w:rsidRPr="009A6F81">
        <w:rPr>
          <w:rFonts w:asciiTheme="minorEastAsia" w:hAnsiTheme="minorEastAsia" w:hint="eastAsia"/>
          <w:sz w:val="22"/>
        </w:rPr>
        <w:t>如有任何爭議，</w:t>
      </w:r>
      <w:r w:rsidR="009A6F81">
        <w:rPr>
          <w:rFonts w:asciiTheme="minorEastAsia" w:hAnsiTheme="minorEastAsia" w:hint="eastAsia"/>
          <w:sz w:val="22"/>
        </w:rPr>
        <w:t>本</w:t>
      </w:r>
      <w:r w:rsidR="009A6F81" w:rsidRPr="009A6F81">
        <w:rPr>
          <w:rFonts w:asciiTheme="minorEastAsia" w:hAnsiTheme="minorEastAsia" w:hint="eastAsia"/>
          <w:sz w:val="22"/>
        </w:rPr>
        <w:t>行</w:t>
      </w:r>
      <w:r w:rsidR="009A6F81">
        <w:rPr>
          <w:rFonts w:asciiTheme="minorEastAsia" w:hAnsiTheme="minorEastAsia" w:hint="eastAsia"/>
          <w:sz w:val="22"/>
        </w:rPr>
        <w:t>擁有</w:t>
      </w:r>
      <w:r w:rsidR="009A6F81" w:rsidRPr="009A6F81">
        <w:rPr>
          <w:rFonts w:asciiTheme="minorEastAsia" w:hAnsiTheme="minorEastAsia" w:hint="eastAsia"/>
          <w:sz w:val="22"/>
        </w:rPr>
        <w:t>最終決定</w:t>
      </w:r>
      <w:r w:rsidR="009A6F81">
        <w:rPr>
          <w:rFonts w:asciiTheme="minorEastAsia" w:hAnsiTheme="minorEastAsia" w:hint="eastAsia"/>
          <w:sz w:val="22"/>
        </w:rPr>
        <w:t>權</w:t>
      </w:r>
      <w:r w:rsidR="009A6F81" w:rsidRPr="009A6F81">
        <w:rPr>
          <w:rFonts w:asciiTheme="minorEastAsia" w:hAnsiTheme="minorEastAsia" w:hint="eastAsia"/>
          <w:sz w:val="22"/>
        </w:rPr>
        <w:t>。</w:t>
      </w:r>
    </w:p>
    <w:p w14:paraId="04FDA0FE" w14:textId="77777777" w:rsidR="006E1B24" w:rsidRPr="006E1B24" w:rsidRDefault="006E1B24" w:rsidP="006E1B24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 w:rsidRPr="006E1B24">
        <w:rPr>
          <w:rFonts w:asciiTheme="minorEastAsia" w:hAnsiTheme="minorEastAsia" w:hint="eastAsia"/>
          <w:sz w:val="22"/>
        </w:rPr>
        <w:t>本專案定期性存款到期前如遇本行牌告利率調整時，依本專案已開立定期存款之利率仍維持不變，</w:t>
      </w:r>
      <w:proofErr w:type="gramStart"/>
      <w:r w:rsidRPr="006E1B24">
        <w:rPr>
          <w:rFonts w:asciiTheme="minorEastAsia" w:hAnsiTheme="minorEastAsia" w:hint="eastAsia"/>
          <w:sz w:val="22"/>
        </w:rPr>
        <w:t>不隨牌告</w:t>
      </w:r>
      <w:proofErr w:type="gramEnd"/>
      <w:r w:rsidRPr="006E1B24">
        <w:rPr>
          <w:rFonts w:asciiTheme="minorEastAsia" w:hAnsiTheme="minorEastAsia" w:hint="eastAsia"/>
          <w:sz w:val="22"/>
        </w:rPr>
        <w:t>調整。</w:t>
      </w:r>
    </w:p>
    <w:p w14:paraId="203FF02A" w14:textId="440B1D4E" w:rsidR="00174944" w:rsidRDefault="006E1B24" w:rsidP="00F7413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 w:rsidRPr="006E1B24">
        <w:rPr>
          <w:rFonts w:asciiTheme="minorEastAsia" w:hAnsiTheme="minorEastAsia" w:hint="eastAsia"/>
          <w:sz w:val="22"/>
        </w:rPr>
        <w:t>本專案計畫名額有限，</w:t>
      </w:r>
      <w:proofErr w:type="gramStart"/>
      <w:r w:rsidRPr="006E1B24">
        <w:rPr>
          <w:rFonts w:asciiTheme="minorEastAsia" w:hAnsiTheme="minorEastAsia" w:hint="eastAsia"/>
          <w:sz w:val="22"/>
        </w:rPr>
        <w:t>採</w:t>
      </w:r>
      <w:proofErr w:type="gramEnd"/>
      <w:r w:rsidRPr="006E1B24">
        <w:rPr>
          <w:rFonts w:asciiTheme="minorEastAsia" w:hAnsiTheme="minorEastAsia" w:hint="eastAsia"/>
          <w:sz w:val="22"/>
        </w:rPr>
        <w:t>先</w:t>
      </w:r>
      <w:r w:rsidRPr="00A01575">
        <w:rPr>
          <w:rFonts w:asciiTheme="minorEastAsia" w:hAnsiTheme="minorEastAsia" w:hint="eastAsia"/>
          <w:sz w:val="22"/>
        </w:rPr>
        <w:t>到先</w:t>
      </w:r>
      <w:r w:rsidR="00202A74" w:rsidRPr="00A01575">
        <w:rPr>
          <w:rFonts w:asciiTheme="minorEastAsia" w:hAnsiTheme="minorEastAsia" w:hint="eastAsia"/>
          <w:sz w:val="22"/>
        </w:rPr>
        <w:t>得</w:t>
      </w:r>
      <w:r w:rsidR="00F74139" w:rsidRPr="00A01575">
        <w:rPr>
          <w:rFonts w:asciiTheme="minorEastAsia" w:hAnsiTheme="minorEastAsia" w:hint="eastAsia"/>
          <w:sz w:val="22"/>
        </w:rPr>
        <w:t>原則</w:t>
      </w:r>
      <w:r w:rsidRPr="006E1B24">
        <w:rPr>
          <w:rFonts w:asciiTheme="minorEastAsia" w:hAnsiTheme="minorEastAsia" w:hint="eastAsia"/>
          <w:sz w:val="22"/>
        </w:rPr>
        <w:t>辦理，額滿即止。</w:t>
      </w:r>
      <w:r w:rsidR="00174944">
        <w:rPr>
          <w:rFonts w:asciiTheme="minorEastAsia" w:hAnsiTheme="minorEastAsia"/>
          <w:sz w:val="22"/>
        </w:rPr>
        <w:tab/>
      </w:r>
      <w:r w:rsidR="00174944">
        <w:rPr>
          <w:rFonts w:asciiTheme="minorEastAsia" w:hAnsiTheme="minorEastAsia"/>
          <w:sz w:val="22"/>
        </w:rPr>
        <w:tab/>
      </w:r>
    </w:p>
    <w:p w14:paraId="5566A99D" w14:textId="6288BBF9" w:rsidR="00422128" w:rsidRPr="00174944" w:rsidRDefault="00174944" w:rsidP="00174944">
      <w:pPr>
        <w:widowControl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B547EB">
        <w:rPr>
          <w:noProof/>
        </w:rPr>
        <w:lastRenderedPageBreak/>
        <w:drawing>
          <wp:inline distT="0" distB="0" distL="0" distR="0" wp14:anchorId="32A01BEB" wp14:editId="435BE5C1">
            <wp:extent cx="2000250" cy="51679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9856" cy="5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5B70" w14:textId="0D7568C6" w:rsidR="00174944" w:rsidRDefault="00174944" w:rsidP="00174944">
      <w:pPr>
        <w:pStyle w:val="a3"/>
        <w:ind w:leftChars="0" w:left="490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0072F294" wp14:editId="54D0CBC4">
            <wp:extent cx="6118449" cy="1546697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861" cy="157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D3BA" w14:textId="01724E6A" w:rsidR="00174944" w:rsidRPr="00D079BA" w:rsidRDefault="00174944" w:rsidP="00174944">
      <w:pPr>
        <w:rPr>
          <w:rFonts w:eastAsia="DengXian" w:cstheme="minorHAnsi"/>
          <w:b/>
          <w:color w:val="C45911" w:themeColor="accent2" w:themeShade="BF"/>
          <w:spacing w:val="12"/>
          <w:sz w:val="32"/>
          <w:szCs w:val="32"/>
          <w:lang w:eastAsia="zh-CN"/>
        </w:rPr>
      </w:pPr>
      <w:r w:rsidRPr="00D079BA">
        <w:rPr>
          <w:rFonts w:eastAsia="DengXian" w:cstheme="minorHAnsi"/>
          <w:b/>
          <w:color w:val="538135" w:themeColor="accent6" w:themeShade="BF"/>
          <w:spacing w:val="12"/>
          <w:sz w:val="40"/>
          <w:szCs w:val="40"/>
          <w:lang w:eastAsia="zh-CN"/>
        </w:rPr>
        <w:t xml:space="preserve">Sustainable </w:t>
      </w:r>
      <w:r w:rsidR="00BB3FDB" w:rsidRPr="00D079BA">
        <w:rPr>
          <w:rFonts w:eastAsia="DengXian" w:cstheme="minorHAnsi"/>
          <w:b/>
          <w:color w:val="538135" w:themeColor="accent6" w:themeShade="BF"/>
          <w:spacing w:val="12"/>
          <w:sz w:val="40"/>
          <w:szCs w:val="40"/>
          <w:lang w:eastAsia="zh-CN"/>
        </w:rPr>
        <w:t xml:space="preserve">Development </w:t>
      </w:r>
      <w:r w:rsidRPr="00D079BA">
        <w:rPr>
          <w:rFonts w:eastAsia="DengXian" w:cstheme="minorHAnsi"/>
          <w:b/>
          <w:color w:val="538135" w:themeColor="accent6" w:themeShade="BF"/>
          <w:spacing w:val="12"/>
          <w:sz w:val="40"/>
          <w:szCs w:val="40"/>
          <w:lang w:eastAsia="zh-CN"/>
        </w:rPr>
        <w:t>Time Deposit</w:t>
      </w:r>
      <w:r w:rsidRPr="00D079BA">
        <w:rPr>
          <w:rFonts w:eastAsia="DengXian" w:cstheme="minorHAnsi"/>
          <w:b/>
          <w:color w:val="C45911" w:themeColor="accent2" w:themeShade="BF"/>
          <w:spacing w:val="12"/>
          <w:sz w:val="32"/>
          <w:szCs w:val="32"/>
          <w:lang w:eastAsia="zh-CN"/>
        </w:rPr>
        <w:t xml:space="preserve"> </w:t>
      </w:r>
      <w:r w:rsidR="00FF56EF" w:rsidRPr="00D079BA">
        <w:rPr>
          <w:rFonts w:eastAsia="DengXian" w:cstheme="minorHAnsi"/>
          <w:b/>
          <w:color w:val="538135" w:themeColor="accent6" w:themeShade="BF"/>
          <w:spacing w:val="12"/>
          <w:sz w:val="40"/>
          <w:szCs w:val="40"/>
          <w:lang w:eastAsia="zh-CN"/>
        </w:rPr>
        <w:t>Scheme</w:t>
      </w:r>
    </w:p>
    <w:p w14:paraId="1ECDD47D" w14:textId="4EF165CF" w:rsidR="00174944" w:rsidRPr="00D079BA" w:rsidRDefault="00174944" w:rsidP="00174944">
      <w:pPr>
        <w:rPr>
          <w:rFonts w:eastAsiaTheme="majorEastAsia" w:cstheme="minorHAnsi"/>
          <w:b/>
          <w:color w:val="C45911" w:themeColor="accent2" w:themeShade="BF"/>
          <w:spacing w:val="12"/>
          <w:sz w:val="32"/>
          <w:szCs w:val="32"/>
        </w:rPr>
      </w:pPr>
      <w:r w:rsidRPr="00D079BA">
        <w:rPr>
          <w:rFonts w:eastAsia="DengXian" w:cstheme="minorHAnsi"/>
          <w:b/>
          <w:color w:val="C45911" w:themeColor="accent2" w:themeShade="BF"/>
          <w:spacing w:val="12"/>
          <w:sz w:val="32"/>
          <w:szCs w:val="32"/>
          <w:lang w:eastAsia="zh-CN"/>
        </w:rPr>
        <w:t xml:space="preserve">Certified by an independent </w:t>
      </w:r>
      <w:r w:rsidR="009A6F81">
        <w:rPr>
          <w:rFonts w:eastAsia="DengXian" w:cstheme="minorHAnsi"/>
          <w:b/>
          <w:color w:val="C45911" w:themeColor="accent2" w:themeShade="BF"/>
          <w:spacing w:val="12"/>
          <w:sz w:val="32"/>
          <w:szCs w:val="32"/>
          <w:lang w:eastAsia="zh-CN"/>
        </w:rPr>
        <w:t xml:space="preserve">verifying </w:t>
      </w:r>
      <w:r w:rsidRPr="00D079BA">
        <w:rPr>
          <w:rFonts w:eastAsia="DengXian" w:cstheme="minorHAnsi"/>
          <w:b/>
          <w:color w:val="C45911" w:themeColor="accent2" w:themeShade="BF"/>
          <w:spacing w:val="12"/>
          <w:sz w:val="32"/>
          <w:szCs w:val="32"/>
          <w:lang w:eastAsia="zh-CN"/>
        </w:rPr>
        <w:t xml:space="preserve">third party*  </w:t>
      </w:r>
    </w:p>
    <w:p w14:paraId="4DCE0009" w14:textId="493CEF27" w:rsidR="00174944" w:rsidRPr="00D079BA" w:rsidRDefault="00174944" w:rsidP="00174944">
      <w:pPr>
        <w:rPr>
          <w:rFonts w:cstheme="minorHAnsi"/>
          <w:sz w:val="22"/>
        </w:rPr>
      </w:pPr>
    </w:p>
    <w:p w14:paraId="4C547FAE" w14:textId="35E53430" w:rsidR="00174944" w:rsidRPr="00D079BA" w:rsidRDefault="00FF56EF" w:rsidP="00174944">
      <w:pPr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</w:pPr>
      <w:r w:rsidRPr="00D079BA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 xml:space="preserve">Scheme </w:t>
      </w:r>
      <w:r w:rsidR="00174944" w:rsidRPr="00D079BA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>Purpose</w:t>
      </w:r>
    </w:p>
    <w:p w14:paraId="437C24A3" w14:textId="6D99943F" w:rsidR="00174944" w:rsidRPr="00B65DA2" w:rsidRDefault="00BB3FDB" w:rsidP="00B65DA2">
      <w:pPr>
        <w:pStyle w:val="a3"/>
        <w:numPr>
          <w:ilvl w:val="0"/>
          <w:numId w:val="7"/>
        </w:numPr>
        <w:ind w:leftChars="0"/>
        <w:rPr>
          <w:rFonts w:eastAsiaTheme="majorEastAsia" w:cstheme="minorHAnsi"/>
          <w:szCs w:val="24"/>
        </w:rPr>
      </w:pPr>
      <w:r w:rsidRPr="00B65DA2">
        <w:rPr>
          <w:rFonts w:eastAsiaTheme="majorEastAsia" w:cstheme="minorHAnsi"/>
          <w:szCs w:val="24"/>
        </w:rPr>
        <w:t xml:space="preserve">In </w:t>
      </w:r>
      <w:r w:rsidR="009D5F5C">
        <w:rPr>
          <w:rFonts w:eastAsiaTheme="majorEastAsia" w:cstheme="minorHAnsi"/>
          <w:szCs w:val="24"/>
        </w:rPr>
        <w:t>participating to achieve c</w:t>
      </w:r>
      <w:r w:rsidRPr="00B65DA2">
        <w:rPr>
          <w:rFonts w:eastAsiaTheme="majorEastAsia" w:cstheme="minorHAnsi"/>
          <w:szCs w:val="24"/>
        </w:rPr>
        <w:t xml:space="preserve">arbon neutrality before 2050 </w:t>
      </w:r>
      <w:r w:rsidR="0067178F">
        <w:rPr>
          <w:rFonts w:eastAsiaTheme="majorEastAsia" w:cstheme="minorHAnsi"/>
          <w:szCs w:val="24"/>
        </w:rPr>
        <w:t xml:space="preserve">in Hong Kong </w:t>
      </w:r>
      <w:r w:rsidRPr="00B65DA2">
        <w:rPr>
          <w:rFonts w:eastAsiaTheme="majorEastAsia" w:cstheme="minorHAnsi"/>
          <w:szCs w:val="24"/>
        </w:rPr>
        <w:t xml:space="preserve">and </w:t>
      </w:r>
      <w:r w:rsidR="009D5F5C">
        <w:rPr>
          <w:rFonts w:eastAsiaTheme="majorEastAsia" w:cstheme="minorHAnsi"/>
          <w:szCs w:val="24"/>
        </w:rPr>
        <w:t>to achieve</w:t>
      </w:r>
      <w:r w:rsidRPr="00B65DA2">
        <w:rPr>
          <w:rFonts w:eastAsiaTheme="majorEastAsia" w:cstheme="minorHAnsi"/>
          <w:szCs w:val="24"/>
        </w:rPr>
        <w:t xml:space="preserve"> the common goals of financial institutions for sustainable development</w:t>
      </w:r>
      <w:r w:rsidR="009D5F5C">
        <w:rPr>
          <w:rFonts w:eastAsiaTheme="majorEastAsia" w:cstheme="minorHAnsi"/>
          <w:szCs w:val="24"/>
        </w:rPr>
        <w:t>,</w:t>
      </w:r>
      <w:r w:rsidR="00363112" w:rsidRPr="00B65DA2">
        <w:rPr>
          <w:rFonts w:eastAsiaTheme="majorEastAsia" w:cstheme="minorHAnsi"/>
          <w:szCs w:val="24"/>
        </w:rPr>
        <w:t xml:space="preserve"> </w:t>
      </w:r>
      <w:r w:rsidR="00774213" w:rsidRPr="007D03E2">
        <w:rPr>
          <w:rFonts w:eastAsiaTheme="majorEastAsia" w:cstheme="minorHAnsi"/>
          <w:szCs w:val="24"/>
        </w:rPr>
        <w:t xml:space="preserve">Bank </w:t>
      </w:r>
      <w:proofErr w:type="spellStart"/>
      <w:r w:rsidR="00774213" w:rsidRPr="007D03E2">
        <w:rPr>
          <w:rFonts w:eastAsiaTheme="majorEastAsia" w:cstheme="minorHAnsi"/>
          <w:szCs w:val="24"/>
        </w:rPr>
        <w:t>SinoPac</w:t>
      </w:r>
      <w:proofErr w:type="spellEnd"/>
      <w:r w:rsidR="00774213" w:rsidRPr="007D03E2">
        <w:rPr>
          <w:rFonts w:eastAsiaTheme="majorEastAsia" w:cstheme="minorHAnsi"/>
          <w:szCs w:val="24"/>
        </w:rPr>
        <w:t xml:space="preserve"> Hong Kong Branch has launched a sustainable development time deposit scheme</w:t>
      </w:r>
      <w:r w:rsidR="00774213" w:rsidRPr="006423F2">
        <w:rPr>
          <w:rFonts w:eastAsiaTheme="majorEastAsia" w:cstheme="minorHAnsi"/>
          <w:szCs w:val="24"/>
        </w:rPr>
        <w:t xml:space="preserve"> </w:t>
      </w:r>
      <w:r w:rsidR="00774213" w:rsidRPr="007D03E2">
        <w:rPr>
          <w:rFonts w:eastAsiaTheme="majorEastAsia" w:cstheme="minorHAnsi"/>
          <w:szCs w:val="24"/>
        </w:rPr>
        <w:t>since 1 June 2023.</w:t>
      </w:r>
    </w:p>
    <w:p w14:paraId="740AA35B" w14:textId="77777777" w:rsidR="00BB3FDB" w:rsidRPr="00B65DA2" w:rsidRDefault="00BB3FDB" w:rsidP="00174944">
      <w:pPr>
        <w:rPr>
          <w:rFonts w:cstheme="minorHAnsi"/>
          <w:color w:val="333333"/>
          <w:shd w:val="clear" w:color="auto" w:fill="FFFFFF"/>
        </w:rPr>
      </w:pPr>
    </w:p>
    <w:p w14:paraId="70A3AE51" w14:textId="3B588CC5" w:rsidR="00FF56EF" w:rsidRPr="00825189" w:rsidRDefault="009D5F5C" w:rsidP="00B65DA2">
      <w:pPr>
        <w:pStyle w:val="a3"/>
        <w:numPr>
          <w:ilvl w:val="0"/>
          <w:numId w:val="7"/>
        </w:numPr>
        <w:ind w:leftChars="0"/>
        <w:rPr>
          <w:rFonts w:eastAsiaTheme="majorEastAsia" w:cstheme="minorHAnsi"/>
          <w:color w:val="2E74B5" w:themeColor="accent5" w:themeShade="BF"/>
          <w:szCs w:val="24"/>
        </w:rPr>
      </w:pPr>
      <w:r>
        <w:rPr>
          <w:rFonts w:eastAsiaTheme="majorEastAsia" w:cstheme="minorHAnsi"/>
          <w:color w:val="0070C0"/>
          <w:szCs w:val="24"/>
        </w:rPr>
        <w:t>I</w:t>
      </w:r>
      <w:r w:rsidRPr="00110659">
        <w:rPr>
          <w:rFonts w:eastAsiaTheme="majorEastAsia" w:cstheme="minorHAnsi"/>
          <w:szCs w:val="24"/>
        </w:rPr>
        <w:t xml:space="preserve">n </w:t>
      </w:r>
      <w:r w:rsidR="00174944" w:rsidRPr="00110659">
        <w:rPr>
          <w:rFonts w:eastAsiaTheme="majorEastAsia" w:cstheme="minorHAnsi"/>
          <w:szCs w:val="24"/>
        </w:rPr>
        <w:t>support</w:t>
      </w:r>
      <w:r w:rsidRPr="00110659">
        <w:rPr>
          <w:rFonts w:eastAsiaTheme="majorEastAsia" w:cstheme="minorHAnsi"/>
          <w:szCs w:val="24"/>
        </w:rPr>
        <w:t>ing</w:t>
      </w:r>
      <w:r w:rsidR="00174944" w:rsidRPr="00110659">
        <w:rPr>
          <w:rFonts w:eastAsiaTheme="majorEastAsia" w:cstheme="minorHAnsi"/>
          <w:szCs w:val="24"/>
        </w:rPr>
        <w:t xml:space="preserve"> </w:t>
      </w:r>
      <w:r w:rsidR="00FF56EF" w:rsidRPr="00110659">
        <w:rPr>
          <w:rFonts w:eastAsiaTheme="majorEastAsia" w:cstheme="minorHAnsi"/>
          <w:szCs w:val="24"/>
        </w:rPr>
        <w:t xml:space="preserve">industries </w:t>
      </w:r>
      <w:r w:rsidR="00174944" w:rsidRPr="00110659">
        <w:rPr>
          <w:rFonts w:eastAsiaTheme="majorEastAsia" w:cstheme="minorHAnsi"/>
          <w:szCs w:val="24"/>
        </w:rPr>
        <w:t>in renewable energy</w:t>
      </w:r>
      <w:r w:rsidR="00BB3FDB" w:rsidRPr="00110659">
        <w:rPr>
          <w:rFonts w:eastAsiaTheme="majorEastAsia" w:cstheme="minorHAnsi"/>
          <w:szCs w:val="24"/>
        </w:rPr>
        <w:t xml:space="preserve">, </w:t>
      </w:r>
      <w:r w:rsidR="00FF56EF" w:rsidRPr="00110659">
        <w:rPr>
          <w:rFonts w:eastAsiaTheme="majorEastAsia" w:cstheme="minorHAnsi"/>
          <w:szCs w:val="24"/>
        </w:rPr>
        <w:t xml:space="preserve">efficiency improvement, </w:t>
      </w:r>
      <w:r w:rsidR="00BB3FDB" w:rsidRPr="00110659">
        <w:rPr>
          <w:rFonts w:eastAsiaTheme="majorEastAsia" w:cstheme="minorHAnsi"/>
          <w:szCs w:val="24"/>
        </w:rPr>
        <w:t>circular economy</w:t>
      </w:r>
      <w:r w:rsidR="00FF56EF" w:rsidRPr="00110659">
        <w:rPr>
          <w:rFonts w:eastAsiaTheme="majorEastAsia" w:cstheme="minorHAnsi"/>
          <w:szCs w:val="24"/>
        </w:rPr>
        <w:t xml:space="preserve"> systems and environmental protection</w:t>
      </w:r>
      <w:r w:rsidR="00783CBA" w:rsidRPr="00110659">
        <w:rPr>
          <w:rFonts w:eastAsiaTheme="majorEastAsia" w:cstheme="minorHAnsi"/>
          <w:szCs w:val="24"/>
        </w:rPr>
        <w:t xml:space="preserve"> </w:t>
      </w:r>
      <w:r w:rsidR="00BB3FDB" w:rsidRPr="00110659">
        <w:rPr>
          <w:rFonts w:eastAsiaTheme="majorEastAsia" w:cstheme="minorHAnsi"/>
          <w:szCs w:val="24"/>
        </w:rPr>
        <w:t>etc.</w:t>
      </w:r>
      <w:r w:rsidR="00FF56EF" w:rsidRPr="00110659">
        <w:rPr>
          <w:rFonts w:eastAsiaTheme="majorEastAsia" w:cstheme="minorHAnsi"/>
          <w:szCs w:val="24"/>
        </w:rPr>
        <w:t xml:space="preserve"> </w:t>
      </w:r>
      <w:r w:rsidR="00F13D9F" w:rsidRPr="00110659">
        <w:rPr>
          <w:rFonts w:eastAsiaTheme="majorEastAsia" w:cstheme="minorHAnsi"/>
          <w:szCs w:val="24"/>
        </w:rPr>
        <w:t xml:space="preserve">producing green and social </w:t>
      </w:r>
      <w:r w:rsidR="00A01575" w:rsidRPr="00110659">
        <w:rPr>
          <w:rFonts w:eastAsiaTheme="majorEastAsia" w:cstheme="minorHAnsi"/>
          <w:szCs w:val="24"/>
        </w:rPr>
        <w:t>benefits and</w:t>
      </w:r>
      <w:r w:rsidR="00FF56EF" w:rsidRPr="00110659">
        <w:rPr>
          <w:rFonts w:eastAsiaTheme="majorEastAsia" w:cstheme="minorHAnsi"/>
          <w:szCs w:val="24"/>
        </w:rPr>
        <w:t xml:space="preserve"> </w:t>
      </w:r>
      <w:r w:rsidR="00D51567" w:rsidRPr="00110659">
        <w:rPr>
          <w:rFonts w:eastAsiaTheme="majorEastAsia" w:cstheme="minorHAnsi"/>
          <w:szCs w:val="24"/>
        </w:rPr>
        <w:t xml:space="preserve">supporting the </w:t>
      </w:r>
      <w:r w:rsidR="00FF56EF" w:rsidRPr="00110659">
        <w:rPr>
          <w:rFonts w:eastAsiaTheme="majorEastAsia" w:cstheme="minorHAnsi"/>
          <w:szCs w:val="24"/>
        </w:rPr>
        <w:t>implement</w:t>
      </w:r>
      <w:r w:rsidR="00D51567" w:rsidRPr="00110659">
        <w:rPr>
          <w:rFonts w:eastAsiaTheme="majorEastAsia" w:cstheme="minorHAnsi"/>
          <w:szCs w:val="24"/>
        </w:rPr>
        <w:t>ation of</w:t>
      </w:r>
      <w:r w:rsidR="00FF56EF" w:rsidRPr="00110659">
        <w:rPr>
          <w:rFonts w:eastAsiaTheme="majorEastAsia" w:cstheme="minorHAnsi"/>
          <w:szCs w:val="24"/>
        </w:rPr>
        <w:t xml:space="preserve"> ESG </w:t>
      </w:r>
      <w:r w:rsidR="00F13D9F" w:rsidRPr="00110659">
        <w:rPr>
          <w:rFonts w:eastAsiaTheme="majorEastAsia" w:cstheme="minorHAnsi"/>
          <w:szCs w:val="24"/>
        </w:rPr>
        <w:t xml:space="preserve">framework </w:t>
      </w:r>
      <w:r w:rsidR="00FF56EF" w:rsidRPr="00110659">
        <w:rPr>
          <w:rFonts w:eastAsiaTheme="majorEastAsia" w:cstheme="minorHAnsi"/>
          <w:szCs w:val="24"/>
        </w:rPr>
        <w:t xml:space="preserve">with </w:t>
      </w:r>
      <w:r w:rsidR="00F13D9F" w:rsidRPr="00110659">
        <w:rPr>
          <w:rFonts w:eastAsiaTheme="majorEastAsia" w:cstheme="minorHAnsi"/>
          <w:szCs w:val="24"/>
        </w:rPr>
        <w:t xml:space="preserve">our </w:t>
      </w:r>
      <w:r w:rsidR="00202A74" w:rsidRPr="00110659">
        <w:rPr>
          <w:rFonts w:eastAsiaTheme="majorEastAsia" w:cstheme="minorHAnsi"/>
          <w:szCs w:val="24"/>
        </w:rPr>
        <w:t>client</w:t>
      </w:r>
      <w:r w:rsidR="00FF56EF" w:rsidRPr="00110659">
        <w:rPr>
          <w:rFonts w:eastAsiaTheme="majorEastAsia" w:cstheme="minorHAnsi"/>
          <w:szCs w:val="24"/>
        </w:rPr>
        <w:t>s together.</w:t>
      </w:r>
      <w:r w:rsidR="00FF56EF" w:rsidRPr="00825189">
        <w:rPr>
          <w:rFonts w:eastAsiaTheme="majorEastAsia" w:cstheme="minorHAnsi"/>
          <w:color w:val="2E74B5" w:themeColor="accent5" w:themeShade="BF"/>
          <w:szCs w:val="24"/>
        </w:rPr>
        <w:t xml:space="preserve"> </w:t>
      </w:r>
    </w:p>
    <w:p w14:paraId="7FB153EF" w14:textId="4C634DEA" w:rsidR="00174944" w:rsidRPr="00BB3FDB" w:rsidRDefault="00174944" w:rsidP="00174944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> </w:t>
      </w:r>
    </w:p>
    <w:p w14:paraId="41AF8BAD" w14:textId="278174A3" w:rsidR="00174944" w:rsidRPr="00783CBA" w:rsidRDefault="00174944" w:rsidP="00783CBA">
      <w:pPr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</w:pPr>
      <w:r w:rsidRPr="00783CBA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 xml:space="preserve"> </w:t>
      </w:r>
      <w:r w:rsidR="00FF56EF" w:rsidRPr="00783CBA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>Scheme Detail</w:t>
      </w:r>
      <w:r w:rsidR="00783CBA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 xml:space="preserve"> </w:t>
      </w:r>
      <w:r w:rsidR="00F13D9F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 xml:space="preserve">(limited </w:t>
      </w:r>
      <w:r w:rsidR="00C5590C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>quota</w:t>
      </w:r>
      <w:r w:rsidR="00F13D9F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 xml:space="preserve"> </w:t>
      </w:r>
      <w:r w:rsidR="00C5590C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>applies</w:t>
      </w:r>
      <w:r w:rsidR="00F13D9F">
        <w:rPr>
          <w:rFonts w:eastAsia="DengXian" w:cstheme="minorHAnsi"/>
          <w:b/>
          <w:color w:val="538135" w:themeColor="accent6" w:themeShade="BF"/>
          <w:spacing w:val="12"/>
          <w:sz w:val="28"/>
          <w:szCs w:val="28"/>
          <w:lang w:eastAsia="zh-CN"/>
        </w:rPr>
        <w:t>)</w:t>
      </w:r>
    </w:p>
    <w:tbl>
      <w:tblPr>
        <w:tblStyle w:val="a4"/>
        <w:tblW w:w="9576" w:type="dxa"/>
        <w:tblInd w:w="279" w:type="dxa"/>
        <w:tblLook w:val="04A0" w:firstRow="1" w:lastRow="0" w:firstColumn="1" w:lastColumn="0" w:noHBand="0" w:noVBand="1"/>
      </w:tblPr>
      <w:tblGrid>
        <w:gridCol w:w="2636"/>
        <w:gridCol w:w="6940"/>
      </w:tblGrid>
      <w:tr w:rsidR="00FF56EF" w:rsidRPr="00F26856" w14:paraId="50259C43" w14:textId="77777777" w:rsidTr="000939DE">
        <w:trPr>
          <w:trHeight w:val="580"/>
        </w:trPr>
        <w:tc>
          <w:tcPr>
            <w:tcW w:w="2636" w:type="dxa"/>
            <w:vAlign w:val="center"/>
          </w:tcPr>
          <w:p w14:paraId="2E7F240B" w14:textId="5DE611E6" w:rsidR="00FF56EF" w:rsidRPr="00783CBA" w:rsidRDefault="00FF56EF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>Target Customer:</w:t>
            </w:r>
          </w:p>
        </w:tc>
        <w:tc>
          <w:tcPr>
            <w:tcW w:w="6940" w:type="dxa"/>
            <w:vAlign w:val="center"/>
          </w:tcPr>
          <w:p w14:paraId="5E96897E" w14:textId="7B8569A8" w:rsidR="00FF56EF" w:rsidRPr="00825189" w:rsidRDefault="00212027" w:rsidP="000939DE">
            <w:pPr>
              <w:jc w:val="both"/>
              <w:rPr>
                <w:rFonts w:eastAsiaTheme="majorEastAsia" w:cstheme="minorHAnsi"/>
                <w:color w:val="000000" w:themeColor="text1"/>
                <w:szCs w:val="24"/>
              </w:rPr>
            </w:pP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Bank SinoPac Hong Kong Branch </w:t>
            </w:r>
            <w:r w:rsidR="00C5590C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>c</w:t>
            </w: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orporate &amp; wealth management </w:t>
            </w:r>
            <w:r w:rsidR="00202A74"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>client</w:t>
            </w: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s  </w:t>
            </w:r>
          </w:p>
        </w:tc>
      </w:tr>
      <w:tr w:rsidR="00FF56EF" w:rsidRPr="00F26856" w14:paraId="51CA017D" w14:textId="77777777" w:rsidTr="000939DE">
        <w:trPr>
          <w:trHeight w:val="580"/>
        </w:trPr>
        <w:tc>
          <w:tcPr>
            <w:tcW w:w="2636" w:type="dxa"/>
            <w:vAlign w:val="center"/>
          </w:tcPr>
          <w:p w14:paraId="4DE888FC" w14:textId="68524E69" w:rsidR="00FF56EF" w:rsidRPr="00783CBA" w:rsidRDefault="00FF56EF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>Industry being supported</w:t>
            </w:r>
            <w:r w:rsidRPr="00783CBA">
              <w:rPr>
                <w:rFonts w:cstheme="minorHAnsi"/>
                <w:color w:val="333333"/>
                <w:shd w:val="clear" w:color="auto" w:fill="FFFFFF"/>
              </w:rPr>
              <w:t>：</w:t>
            </w:r>
          </w:p>
        </w:tc>
        <w:tc>
          <w:tcPr>
            <w:tcW w:w="6940" w:type="dxa"/>
            <w:vAlign w:val="center"/>
          </w:tcPr>
          <w:p w14:paraId="6CDC12CC" w14:textId="285FF87E" w:rsidR="00212027" w:rsidRPr="00825189" w:rsidRDefault="00783CBA" w:rsidP="000939DE">
            <w:pPr>
              <w:jc w:val="both"/>
              <w:rPr>
                <w:rFonts w:eastAsiaTheme="majorEastAsia" w:cstheme="minorHAnsi"/>
                <w:color w:val="000000" w:themeColor="text1"/>
                <w:szCs w:val="24"/>
              </w:rPr>
            </w:pPr>
            <w:r w:rsidRPr="00825189">
              <w:rPr>
                <w:rFonts w:cstheme="minorHAnsi"/>
                <w:color w:val="000000" w:themeColor="text1"/>
                <w:shd w:val="clear" w:color="auto" w:fill="FFFFFF"/>
              </w:rPr>
              <w:t>R</w:t>
            </w:r>
            <w:r w:rsidR="00212027" w:rsidRPr="00825189">
              <w:rPr>
                <w:rFonts w:cstheme="minorHAnsi"/>
                <w:color w:val="000000" w:themeColor="text1"/>
                <w:shd w:val="clear" w:color="auto" w:fill="FFFFFF"/>
              </w:rPr>
              <w:t xml:space="preserve">enewable energy, </w:t>
            </w:r>
            <w:r w:rsidR="00C5590C">
              <w:rPr>
                <w:rFonts w:cstheme="minorHAnsi"/>
                <w:color w:val="000000" w:themeColor="text1"/>
                <w:shd w:val="clear" w:color="auto" w:fill="FFFFFF"/>
              </w:rPr>
              <w:t>e</w:t>
            </w:r>
            <w:r w:rsidR="00212027" w:rsidRPr="00825189">
              <w:rPr>
                <w:rFonts w:cstheme="minorHAnsi"/>
                <w:color w:val="000000" w:themeColor="text1"/>
                <w:shd w:val="clear" w:color="auto" w:fill="FFFFFF"/>
              </w:rPr>
              <w:t xml:space="preserve">fficiency improvement, </w:t>
            </w:r>
            <w:r w:rsidR="00C5590C">
              <w:rPr>
                <w:rFonts w:cstheme="minorHAnsi"/>
                <w:color w:val="000000" w:themeColor="text1"/>
                <w:shd w:val="clear" w:color="auto" w:fill="FFFFFF"/>
              </w:rPr>
              <w:t>c</w:t>
            </w:r>
            <w:r w:rsidR="00212027" w:rsidRPr="00825189">
              <w:rPr>
                <w:rFonts w:cstheme="minorHAnsi"/>
                <w:color w:val="000000" w:themeColor="text1"/>
                <w:shd w:val="clear" w:color="auto" w:fill="FFFFFF"/>
              </w:rPr>
              <w:t xml:space="preserve">ircular economy systems and </w:t>
            </w:r>
            <w:r w:rsidR="00C5590C">
              <w:rPr>
                <w:rFonts w:cstheme="minorHAnsi"/>
                <w:color w:val="000000" w:themeColor="text1"/>
                <w:shd w:val="clear" w:color="auto" w:fill="FFFFFF"/>
              </w:rPr>
              <w:t>e</w:t>
            </w:r>
            <w:r w:rsidR="00212027" w:rsidRPr="00825189">
              <w:rPr>
                <w:rFonts w:cstheme="minorHAnsi"/>
                <w:color w:val="000000" w:themeColor="text1"/>
                <w:shd w:val="clear" w:color="auto" w:fill="FFFFFF"/>
              </w:rPr>
              <w:t>nvironmental protection</w:t>
            </w:r>
            <w:r w:rsidRPr="00825189">
              <w:rPr>
                <w:rFonts w:cstheme="minorHAnsi"/>
                <w:color w:val="000000" w:themeColor="text1"/>
                <w:shd w:val="clear" w:color="auto" w:fill="FFFFFF"/>
              </w:rPr>
              <w:t xml:space="preserve"> etc</w:t>
            </w:r>
            <w:r w:rsidR="00C5590C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FF56EF" w:rsidRPr="00F26856" w14:paraId="3CBC8A77" w14:textId="77777777" w:rsidTr="000939DE">
        <w:trPr>
          <w:trHeight w:val="647"/>
        </w:trPr>
        <w:tc>
          <w:tcPr>
            <w:tcW w:w="2636" w:type="dxa"/>
            <w:vAlign w:val="center"/>
          </w:tcPr>
          <w:p w14:paraId="4DA7E91B" w14:textId="4D3D1B2C" w:rsidR="00FF56EF" w:rsidRPr="00783CBA" w:rsidRDefault="00FF56EF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>Minimum deposit</w:t>
            </w:r>
            <w:r w:rsidR="00C5590C">
              <w:rPr>
                <w:rFonts w:cstheme="minorHAnsi"/>
                <w:color w:val="333333"/>
                <w:shd w:val="clear" w:color="auto" w:fill="FFFFFF"/>
              </w:rPr>
              <w:t xml:space="preserve"> amount</w:t>
            </w:r>
            <w:r w:rsidRPr="00783CBA">
              <w:rPr>
                <w:rFonts w:cstheme="minorHAnsi"/>
                <w:color w:val="333333"/>
                <w:shd w:val="clear" w:color="auto" w:fill="FFFFFF"/>
              </w:rPr>
              <w:t>：</w:t>
            </w:r>
          </w:p>
        </w:tc>
        <w:tc>
          <w:tcPr>
            <w:tcW w:w="6940" w:type="dxa"/>
            <w:vAlign w:val="center"/>
          </w:tcPr>
          <w:p w14:paraId="3DA6A2B3" w14:textId="35C996BF" w:rsidR="00FF56EF" w:rsidRPr="00825189" w:rsidRDefault="00212027" w:rsidP="000939DE">
            <w:pPr>
              <w:jc w:val="both"/>
              <w:rPr>
                <w:rFonts w:eastAsiaTheme="majorEastAsia" w:cstheme="minorHAnsi"/>
                <w:color w:val="000000" w:themeColor="text1"/>
                <w:szCs w:val="24"/>
              </w:rPr>
            </w:pP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>New fund</w:t>
            </w:r>
            <w:r w:rsidR="00C5590C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>s in</w:t>
            </w: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 </w:t>
            </w:r>
            <w:r w:rsidR="00C5590C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the amount of </w:t>
            </w:r>
            <w:r w:rsidRPr="00825189">
              <w:rPr>
                <w:rFonts w:eastAsia="DengXian" w:cstheme="minorHAnsi"/>
                <w:color w:val="000000" w:themeColor="text1"/>
                <w:szCs w:val="24"/>
              </w:rPr>
              <w:t>USD</w:t>
            </w:r>
            <w:r w:rsidR="00FF56EF" w:rsidRPr="00825189">
              <w:rPr>
                <w:rFonts w:eastAsiaTheme="majorEastAsia" w:cstheme="minorHAnsi"/>
                <w:color w:val="000000" w:themeColor="text1"/>
                <w:szCs w:val="24"/>
              </w:rPr>
              <w:t>50</w:t>
            </w:r>
            <w:r w:rsidR="00202A74" w:rsidRPr="00825189">
              <w:rPr>
                <w:rFonts w:eastAsiaTheme="majorEastAsia" w:cstheme="minorHAnsi"/>
                <w:color w:val="000000" w:themeColor="text1"/>
                <w:szCs w:val="24"/>
              </w:rPr>
              <w:t>0</w:t>
            </w:r>
            <w:r w:rsidRPr="00825189">
              <w:rPr>
                <w:rFonts w:eastAsia="DengXian" w:cstheme="minorHAnsi"/>
                <w:color w:val="000000" w:themeColor="text1"/>
                <w:szCs w:val="24"/>
              </w:rPr>
              <w:t>,000</w:t>
            </w:r>
            <w:r w:rsidR="00C5590C">
              <w:rPr>
                <w:rFonts w:eastAsia="DengXian" w:cstheme="minorHAnsi"/>
                <w:color w:val="000000" w:themeColor="text1"/>
                <w:szCs w:val="24"/>
              </w:rPr>
              <w:t xml:space="preserve"> </w:t>
            </w:r>
            <w:r w:rsidR="00C5590C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>or</w:t>
            </w:r>
            <w:r w:rsidRPr="00825189">
              <w:rPr>
                <w:rFonts w:eastAsia="DengXian" w:cstheme="minorHAnsi"/>
                <w:color w:val="000000" w:themeColor="text1"/>
                <w:szCs w:val="24"/>
                <w:lang w:eastAsia="zh-CN"/>
              </w:rPr>
              <w:t xml:space="preserve"> HKD</w:t>
            </w:r>
            <w:r w:rsidR="00FF56EF" w:rsidRPr="00825189">
              <w:rPr>
                <w:rFonts w:eastAsiaTheme="majorEastAsia" w:cstheme="minorHAnsi"/>
                <w:color w:val="000000" w:themeColor="text1"/>
                <w:szCs w:val="24"/>
              </w:rPr>
              <w:t>3</w:t>
            </w:r>
            <w:r w:rsidRPr="00825189">
              <w:rPr>
                <w:rFonts w:eastAsiaTheme="majorEastAsia" w:cstheme="minorHAnsi"/>
                <w:color w:val="000000" w:themeColor="text1"/>
                <w:szCs w:val="24"/>
              </w:rPr>
              <w:t>.</w:t>
            </w:r>
            <w:r w:rsidR="00FF56EF" w:rsidRPr="00825189">
              <w:rPr>
                <w:rFonts w:eastAsiaTheme="majorEastAsia" w:cstheme="minorHAnsi"/>
                <w:color w:val="000000" w:themeColor="text1"/>
                <w:szCs w:val="24"/>
              </w:rPr>
              <w:t>9</w:t>
            </w:r>
            <w:r w:rsidRPr="00825189">
              <w:rPr>
                <w:rFonts w:eastAsiaTheme="majorEastAsia" w:cstheme="minorHAnsi"/>
                <w:color w:val="000000" w:themeColor="text1"/>
                <w:szCs w:val="24"/>
              </w:rPr>
              <w:t xml:space="preserve"> </w:t>
            </w:r>
            <w:r w:rsidR="00C5590C">
              <w:rPr>
                <w:rFonts w:eastAsiaTheme="majorEastAsia" w:cstheme="minorHAnsi"/>
                <w:color w:val="000000" w:themeColor="text1"/>
                <w:szCs w:val="24"/>
              </w:rPr>
              <w:t>m</w:t>
            </w:r>
            <w:r w:rsidRPr="00825189">
              <w:rPr>
                <w:rFonts w:eastAsiaTheme="majorEastAsia" w:cstheme="minorHAnsi"/>
                <w:color w:val="000000" w:themeColor="text1"/>
                <w:szCs w:val="24"/>
              </w:rPr>
              <w:t>illion</w:t>
            </w:r>
          </w:p>
        </w:tc>
      </w:tr>
      <w:tr w:rsidR="00FF56EF" w:rsidRPr="00F26856" w14:paraId="7E8257AA" w14:textId="77777777" w:rsidTr="000939DE">
        <w:trPr>
          <w:trHeight w:val="580"/>
        </w:trPr>
        <w:tc>
          <w:tcPr>
            <w:tcW w:w="2636" w:type="dxa"/>
            <w:vAlign w:val="center"/>
          </w:tcPr>
          <w:p w14:paraId="2818BE1D" w14:textId="7716A3CD" w:rsidR="00FF56EF" w:rsidRPr="00783CBA" w:rsidRDefault="00363112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>D</w:t>
            </w:r>
            <w:r w:rsidR="00FF56EF" w:rsidRPr="00783CBA">
              <w:rPr>
                <w:rFonts w:cstheme="minorHAnsi"/>
                <w:color w:val="333333"/>
                <w:shd w:val="clear" w:color="auto" w:fill="FFFFFF"/>
              </w:rPr>
              <w:t>eposit</w:t>
            </w:r>
            <w:r w:rsidRPr="00783CBA">
              <w:rPr>
                <w:rFonts w:cstheme="minorHAnsi"/>
                <w:color w:val="333333"/>
                <w:shd w:val="clear" w:color="auto" w:fill="FFFFFF"/>
              </w:rPr>
              <w:t xml:space="preserve"> tenor</w:t>
            </w:r>
            <w:r w:rsidR="00FF56EF" w:rsidRPr="00783CBA">
              <w:rPr>
                <w:rFonts w:cstheme="minorHAnsi"/>
                <w:color w:val="333333"/>
                <w:shd w:val="clear" w:color="auto" w:fill="FFFFFF"/>
              </w:rPr>
              <w:t>：</w:t>
            </w:r>
          </w:p>
        </w:tc>
        <w:tc>
          <w:tcPr>
            <w:tcW w:w="6940" w:type="dxa"/>
            <w:vAlign w:val="center"/>
          </w:tcPr>
          <w:p w14:paraId="584231EE" w14:textId="30ED435F" w:rsidR="00FF56EF" w:rsidRPr="00783CBA" w:rsidRDefault="00783CBA" w:rsidP="000939DE">
            <w:pPr>
              <w:jc w:val="both"/>
              <w:rPr>
                <w:rFonts w:eastAsia="DengXian" w:cstheme="minorHAnsi"/>
                <w:szCs w:val="24"/>
                <w:lang w:eastAsia="zh-CN"/>
              </w:rPr>
            </w:pPr>
            <w:r w:rsidRPr="00783CBA">
              <w:rPr>
                <w:rFonts w:eastAsia="DengXian" w:cstheme="minorHAnsi"/>
                <w:szCs w:val="24"/>
                <w:lang w:eastAsia="zh-CN"/>
              </w:rPr>
              <w:t>3-months, 6-months</w:t>
            </w:r>
          </w:p>
        </w:tc>
      </w:tr>
      <w:tr w:rsidR="00FF56EF" w:rsidRPr="00F26856" w14:paraId="550D7B35" w14:textId="77777777" w:rsidTr="000939DE">
        <w:trPr>
          <w:trHeight w:val="553"/>
        </w:trPr>
        <w:tc>
          <w:tcPr>
            <w:tcW w:w="2636" w:type="dxa"/>
            <w:vAlign w:val="center"/>
          </w:tcPr>
          <w:p w14:paraId="696A1DA6" w14:textId="3679702E" w:rsidR="00FF56EF" w:rsidRPr="00783CBA" w:rsidRDefault="00363112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>Interest rate</w:t>
            </w:r>
            <w:r w:rsidR="00FF56EF" w:rsidRPr="00783CBA">
              <w:rPr>
                <w:rFonts w:cstheme="minorHAnsi"/>
                <w:color w:val="333333"/>
                <w:shd w:val="clear" w:color="auto" w:fill="FFFFFF"/>
              </w:rPr>
              <w:t>：</w:t>
            </w:r>
          </w:p>
        </w:tc>
        <w:tc>
          <w:tcPr>
            <w:tcW w:w="6940" w:type="dxa"/>
            <w:vAlign w:val="center"/>
          </w:tcPr>
          <w:p w14:paraId="2700641D" w14:textId="11A8ED57" w:rsidR="00FF56EF" w:rsidRPr="00783CBA" w:rsidRDefault="00C5590C" w:rsidP="000939DE">
            <w:pPr>
              <w:jc w:val="both"/>
              <w:rPr>
                <w:rFonts w:eastAsia="DengXian" w:cstheme="minorHAnsi"/>
                <w:szCs w:val="24"/>
                <w:lang w:eastAsia="zh-CN"/>
              </w:rPr>
            </w:pPr>
            <w:r>
              <w:rPr>
                <w:rFonts w:eastAsia="DengXian" w:cstheme="minorHAnsi"/>
                <w:szCs w:val="24"/>
                <w:lang w:eastAsia="zh-CN"/>
              </w:rPr>
              <w:t>Upon n</w:t>
            </w:r>
            <w:r w:rsidR="00783CBA" w:rsidRPr="00783CBA">
              <w:rPr>
                <w:rFonts w:eastAsia="DengXian" w:cstheme="minorHAnsi"/>
                <w:szCs w:val="24"/>
                <w:lang w:eastAsia="zh-CN"/>
              </w:rPr>
              <w:t xml:space="preserve">egotiation </w:t>
            </w:r>
          </w:p>
        </w:tc>
      </w:tr>
      <w:tr w:rsidR="00FF56EF" w:rsidRPr="00F26856" w14:paraId="66212D43" w14:textId="77777777" w:rsidTr="000939DE">
        <w:trPr>
          <w:trHeight w:val="448"/>
        </w:trPr>
        <w:tc>
          <w:tcPr>
            <w:tcW w:w="2636" w:type="dxa"/>
            <w:vAlign w:val="center"/>
          </w:tcPr>
          <w:p w14:paraId="013C95D2" w14:textId="1BDB7BD1" w:rsidR="00FF56EF" w:rsidRPr="00783CBA" w:rsidRDefault="00212027" w:rsidP="00D079B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83CBA">
              <w:rPr>
                <w:rFonts w:cstheme="minorHAnsi"/>
                <w:color w:val="333333"/>
                <w:shd w:val="clear" w:color="auto" w:fill="FFFFFF"/>
              </w:rPr>
              <w:t xml:space="preserve">Application </w:t>
            </w:r>
            <w:r w:rsidR="00363112" w:rsidRPr="00783CBA">
              <w:rPr>
                <w:rFonts w:cstheme="minorHAnsi"/>
                <w:color w:val="333333"/>
                <w:shd w:val="clear" w:color="auto" w:fill="FFFFFF"/>
              </w:rPr>
              <w:t xml:space="preserve">channel </w:t>
            </w:r>
            <w:r w:rsidR="00FF56EF" w:rsidRPr="00783CBA">
              <w:rPr>
                <w:rFonts w:cstheme="minorHAnsi"/>
                <w:color w:val="333333"/>
                <w:shd w:val="clear" w:color="auto" w:fill="FFFFFF"/>
              </w:rPr>
              <w:t>：</w:t>
            </w:r>
          </w:p>
        </w:tc>
        <w:tc>
          <w:tcPr>
            <w:tcW w:w="6940" w:type="dxa"/>
            <w:vAlign w:val="center"/>
          </w:tcPr>
          <w:p w14:paraId="0C4C4C8B" w14:textId="2BFBE1D9" w:rsidR="00FF56EF" w:rsidRPr="00783CBA" w:rsidRDefault="00783CBA" w:rsidP="000939DE">
            <w:pPr>
              <w:jc w:val="both"/>
              <w:rPr>
                <w:rFonts w:eastAsia="DengXian" w:cstheme="minorHAnsi"/>
                <w:szCs w:val="24"/>
                <w:lang w:eastAsia="zh-CN"/>
              </w:rPr>
            </w:pPr>
            <w:r w:rsidRPr="00783CBA">
              <w:rPr>
                <w:rFonts w:eastAsia="DengXian" w:cstheme="minorHAnsi"/>
                <w:szCs w:val="24"/>
                <w:lang w:eastAsia="zh-CN"/>
              </w:rPr>
              <w:t xml:space="preserve">Please contact </w:t>
            </w:r>
            <w:r w:rsidR="00C5590C">
              <w:rPr>
                <w:rFonts w:eastAsia="DengXian" w:cstheme="minorHAnsi"/>
                <w:szCs w:val="24"/>
                <w:lang w:eastAsia="zh-CN"/>
              </w:rPr>
              <w:t xml:space="preserve">one of </w:t>
            </w:r>
            <w:r w:rsidRPr="00783CBA">
              <w:rPr>
                <w:rFonts w:eastAsia="DengXian" w:cstheme="minorHAnsi"/>
                <w:szCs w:val="24"/>
                <w:lang w:eastAsia="zh-CN"/>
              </w:rPr>
              <w:t>our</w:t>
            </w:r>
            <w:r w:rsidR="009A6F81">
              <w:rPr>
                <w:rFonts w:eastAsia="DengXian" w:cstheme="minorHAnsi"/>
                <w:szCs w:val="24"/>
                <w:lang w:eastAsia="zh-CN"/>
              </w:rPr>
              <w:t xml:space="preserve"> customer</w:t>
            </w:r>
            <w:r w:rsidRPr="00783CBA">
              <w:rPr>
                <w:rFonts w:eastAsia="DengXian" w:cstheme="minorHAnsi"/>
                <w:szCs w:val="24"/>
                <w:lang w:eastAsia="zh-CN"/>
              </w:rPr>
              <w:t xml:space="preserve"> </w:t>
            </w:r>
            <w:r w:rsidR="00C5590C">
              <w:rPr>
                <w:rFonts w:eastAsia="DengXian" w:cstheme="minorHAnsi"/>
                <w:szCs w:val="24"/>
                <w:lang w:eastAsia="zh-CN"/>
              </w:rPr>
              <w:t>relationship</w:t>
            </w:r>
            <w:r w:rsidRPr="00783CBA">
              <w:rPr>
                <w:rFonts w:eastAsia="DengXian" w:cstheme="minorHAnsi"/>
                <w:szCs w:val="24"/>
                <w:lang w:eastAsia="zh-CN"/>
              </w:rPr>
              <w:t xml:space="preserve"> manager</w:t>
            </w:r>
            <w:r w:rsidR="00C5590C">
              <w:rPr>
                <w:rFonts w:eastAsia="DengXian" w:cstheme="minorHAnsi"/>
                <w:szCs w:val="24"/>
                <w:lang w:eastAsia="zh-CN"/>
              </w:rPr>
              <w:t>s</w:t>
            </w:r>
          </w:p>
        </w:tc>
      </w:tr>
    </w:tbl>
    <w:p w14:paraId="368239AF" w14:textId="77777777" w:rsidR="00D079BA" w:rsidRPr="00C5590C" w:rsidRDefault="00D079BA" w:rsidP="00174944">
      <w:pPr>
        <w:rPr>
          <w:sz w:val="22"/>
        </w:rPr>
      </w:pPr>
    </w:p>
    <w:p w14:paraId="15AEB5C1" w14:textId="36443486" w:rsidR="00774213" w:rsidRPr="00774213" w:rsidRDefault="00D079BA" w:rsidP="00774213">
      <w:pPr>
        <w:rPr>
          <w:highlight w:val="yellow"/>
        </w:rPr>
      </w:pPr>
      <w:r w:rsidRPr="00783CBA">
        <w:rPr>
          <w:rFonts w:cstheme="minorHAnsi"/>
          <w:color w:val="333333"/>
          <w:shd w:val="clear" w:color="auto" w:fill="FFFFFF"/>
        </w:rPr>
        <w:t>Note:</w:t>
      </w:r>
      <w:r w:rsidR="00774213" w:rsidRPr="00774213">
        <w:t xml:space="preserve"> </w:t>
      </w:r>
      <w:r w:rsidR="00774213" w:rsidRPr="00774213">
        <w:t>*This scheme is certified by an independent verifying third party and an assurance report on pre-issuance has been issued.</w:t>
      </w:r>
    </w:p>
    <w:p w14:paraId="24BAC40C" w14:textId="719FD510" w:rsidR="00D079BA" w:rsidRPr="00774213" w:rsidRDefault="00363112" w:rsidP="00174944">
      <w:pPr>
        <w:rPr>
          <w:rFonts w:cstheme="minorHAnsi" w:hint="eastAsia"/>
          <w:color w:val="333333"/>
          <w:shd w:val="clear" w:color="auto" w:fill="FFFFFF"/>
        </w:rPr>
      </w:pPr>
      <w:r w:rsidRPr="00783CBA">
        <w:rPr>
          <w:rFonts w:cstheme="minorHAnsi"/>
          <w:color w:val="333333"/>
          <w:shd w:val="clear" w:color="auto" w:fill="FFFFFF"/>
        </w:rPr>
        <w:t> </w:t>
      </w:r>
    </w:p>
    <w:p w14:paraId="0FE73946" w14:textId="093EF4C8" w:rsidR="00D079BA" w:rsidRPr="00783CBA" w:rsidRDefault="00D079BA" w:rsidP="00174944">
      <w:pPr>
        <w:rPr>
          <w:rFonts w:cstheme="minorHAnsi"/>
          <w:color w:val="333333"/>
          <w:shd w:val="clear" w:color="auto" w:fill="FFFFFF"/>
        </w:rPr>
      </w:pPr>
      <w:r w:rsidRPr="00783CBA">
        <w:rPr>
          <w:rFonts w:cstheme="minorHAnsi"/>
          <w:color w:val="333333"/>
          <w:shd w:val="clear" w:color="auto" w:fill="FFFFFF"/>
        </w:rPr>
        <w:t>General Terms:</w:t>
      </w:r>
    </w:p>
    <w:p w14:paraId="37FD89C8" w14:textId="067702CB" w:rsidR="002555AD" w:rsidRPr="00783CBA" w:rsidRDefault="002555AD" w:rsidP="002555AD">
      <w:pPr>
        <w:pStyle w:val="a3"/>
        <w:numPr>
          <w:ilvl w:val="0"/>
          <w:numId w:val="14"/>
        </w:numPr>
        <w:ind w:leftChars="0"/>
        <w:rPr>
          <w:rFonts w:cstheme="minorHAnsi"/>
          <w:color w:val="333333"/>
          <w:shd w:val="clear" w:color="auto" w:fill="FFFFFF"/>
        </w:rPr>
      </w:pPr>
      <w:r w:rsidRPr="00783CBA">
        <w:rPr>
          <w:rFonts w:cstheme="minorHAnsi"/>
          <w:color w:val="333333"/>
          <w:shd w:val="clear" w:color="auto" w:fill="FFFFFF"/>
        </w:rPr>
        <w:t xml:space="preserve">The above scheme is subject to </w:t>
      </w:r>
      <w:r w:rsidR="009A6F81">
        <w:rPr>
          <w:rFonts w:cstheme="minorHAnsi"/>
          <w:color w:val="333333"/>
          <w:shd w:val="clear" w:color="auto" w:fill="FFFFFF"/>
        </w:rPr>
        <w:t xml:space="preserve">our </w:t>
      </w:r>
      <w:r w:rsidRPr="00783CBA">
        <w:rPr>
          <w:rFonts w:cstheme="minorHAnsi"/>
          <w:color w:val="333333"/>
          <w:shd w:val="clear" w:color="auto" w:fill="FFFFFF"/>
        </w:rPr>
        <w:t>terms</w:t>
      </w:r>
      <w:r w:rsidR="009A6F81">
        <w:rPr>
          <w:rFonts w:cstheme="minorHAnsi"/>
          <w:color w:val="333333"/>
          <w:shd w:val="clear" w:color="auto" w:fill="FFFFFF"/>
        </w:rPr>
        <w:t xml:space="preserve"> and conditions</w:t>
      </w:r>
      <w:r w:rsidRPr="00783CBA">
        <w:rPr>
          <w:rFonts w:cstheme="minorHAnsi"/>
          <w:color w:val="333333"/>
          <w:shd w:val="clear" w:color="auto" w:fill="FFFFFF"/>
        </w:rPr>
        <w:t xml:space="preserve">. For details, please contact </w:t>
      </w:r>
      <w:r w:rsidR="009A6F81">
        <w:rPr>
          <w:rFonts w:cstheme="minorHAnsi"/>
          <w:color w:val="333333"/>
          <w:shd w:val="clear" w:color="auto" w:fill="FFFFFF"/>
        </w:rPr>
        <w:t xml:space="preserve">one of </w:t>
      </w:r>
      <w:r w:rsidRPr="00783CBA">
        <w:rPr>
          <w:rFonts w:cstheme="minorHAnsi"/>
          <w:color w:val="333333"/>
          <w:shd w:val="clear" w:color="auto" w:fill="FFFFFF"/>
        </w:rPr>
        <w:t xml:space="preserve">our </w:t>
      </w:r>
      <w:r w:rsidR="009A6F81">
        <w:rPr>
          <w:rFonts w:cstheme="minorHAnsi"/>
          <w:color w:val="333333"/>
          <w:shd w:val="clear" w:color="auto" w:fill="FFFFFF"/>
        </w:rPr>
        <w:t>customer relationship</w:t>
      </w:r>
      <w:r w:rsidR="00783CBA" w:rsidRPr="00783CBA">
        <w:rPr>
          <w:rFonts w:cstheme="minorHAnsi"/>
          <w:color w:val="333333"/>
          <w:shd w:val="clear" w:color="auto" w:fill="FFFFFF"/>
        </w:rPr>
        <w:t xml:space="preserve"> </w:t>
      </w:r>
      <w:r w:rsidRPr="00783CBA">
        <w:rPr>
          <w:rFonts w:cstheme="minorHAnsi"/>
          <w:color w:val="333333"/>
          <w:shd w:val="clear" w:color="auto" w:fill="FFFFFF"/>
        </w:rPr>
        <w:t>manager</w:t>
      </w:r>
      <w:r w:rsidR="009A6F81">
        <w:rPr>
          <w:rFonts w:cstheme="minorHAnsi"/>
          <w:color w:val="333333"/>
          <w:shd w:val="clear" w:color="auto" w:fill="FFFFFF"/>
        </w:rPr>
        <w:t>s</w:t>
      </w:r>
      <w:r w:rsidRPr="00783CBA">
        <w:rPr>
          <w:rFonts w:cstheme="minorHAnsi"/>
          <w:color w:val="333333"/>
          <w:shd w:val="clear" w:color="auto" w:fill="FFFFFF"/>
        </w:rPr>
        <w:t>.</w:t>
      </w:r>
    </w:p>
    <w:p w14:paraId="4F4158AC" w14:textId="77777777" w:rsidR="002555AD" w:rsidRPr="00783CBA" w:rsidRDefault="002555AD" w:rsidP="00174944">
      <w:pPr>
        <w:rPr>
          <w:rFonts w:cstheme="minorHAnsi"/>
          <w:color w:val="333333"/>
          <w:shd w:val="clear" w:color="auto" w:fill="FFFFFF"/>
        </w:rPr>
      </w:pPr>
    </w:p>
    <w:p w14:paraId="1F6C4C5E" w14:textId="3AEAA48E" w:rsidR="00D079BA" w:rsidRPr="00783CBA" w:rsidRDefault="008037E3" w:rsidP="002555AD">
      <w:pPr>
        <w:pStyle w:val="a3"/>
        <w:numPr>
          <w:ilvl w:val="0"/>
          <w:numId w:val="14"/>
        </w:numPr>
        <w:ind w:leftChars="0"/>
        <w:rPr>
          <w:rFonts w:cstheme="minorHAnsi"/>
          <w:color w:val="333333"/>
          <w:shd w:val="clear" w:color="auto" w:fill="FFFFFF"/>
        </w:rPr>
      </w:pPr>
      <w:r w:rsidRPr="00783CBA">
        <w:rPr>
          <w:rFonts w:cstheme="minorHAnsi"/>
          <w:color w:val="333333"/>
          <w:shd w:val="clear" w:color="auto" w:fill="FFFFFF"/>
        </w:rPr>
        <w:t>The application</w:t>
      </w:r>
      <w:r w:rsidR="00D51567">
        <w:rPr>
          <w:rFonts w:cstheme="minorHAnsi"/>
          <w:color w:val="333333"/>
          <w:shd w:val="clear" w:color="auto" w:fill="FFFFFF"/>
        </w:rPr>
        <w:t>s</w:t>
      </w:r>
      <w:r w:rsidRPr="00783CBA">
        <w:rPr>
          <w:rFonts w:cstheme="minorHAnsi"/>
          <w:color w:val="333333"/>
          <w:shd w:val="clear" w:color="auto" w:fill="FFFFFF"/>
        </w:rPr>
        <w:t xml:space="preserve"> </w:t>
      </w:r>
      <w:r w:rsidR="009A6F81">
        <w:rPr>
          <w:rFonts w:cstheme="minorHAnsi"/>
          <w:color w:val="333333"/>
          <w:shd w:val="clear" w:color="auto" w:fill="FFFFFF"/>
        </w:rPr>
        <w:t xml:space="preserve">to be submitted by our customers need to satisfy our </w:t>
      </w:r>
      <w:r w:rsidRPr="00783CBA">
        <w:rPr>
          <w:rFonts w:cstheme="minorHAnsi"/>
          <w:color w:val="333333"/>
          <w:shd w:val="clear" w:color="auto" w:fill="FFFFFF"/>
        </w:rPr>
        <w:t xml:space="preserve">requirements. </w:t>
      </w:r>
      <w:r w:rsidR="009A6F81">
        <w:rPr>
          <w:rFonts w:cstheme="minorHAnsi"/>
          <w:color w:val="333333"/>
          <w:shd w:val="clear" w:color="auto" w:fill="FFFFFF"/>
        </w:rPr>
        <w:t>We</w:t>
      </w:r>
      <w:r w:rsidR="00D079BA" w:rsidRPr="00783CBA">
        <w:rPr>
          <w:rFonts w:cstheme="minorHAnsi"/>
          <w:color w:val="333333"/>
          <w:shd w:val="clear" w:color="auto" w:fill="FFFFFF"/>
        </w:rPr>
        <w:t xml:space="preserve"> reserve the right to amend, suspend or terminate the </w:t>
      </w:r>
      <w:r w:rsidR="002555AD" w:rsidRPr="00783CBA">
        <w:rPr>
          <w:rFonts w:cstheme="minorHAnsi"/>
          <w:color w:val="333333"/>
          <w:shd w:val="clear" w:color="auto" w:fill="FFFFFF"/>
        </w:rPr>
        <w:t>above</w:t>
      </w:r>
      <w:r w:rsidR="00D079BA" w:rsidRPr="00783CBA">
        <w:rPr>
          <w:rFonts w:cstheme="minorHAnsi"/>
          <w:color w:val="333333"/>
          <w:shd w:val="clear" w:color="auto" w:fill="FFFFFF"/>
        </w:rPr>
        <w:t xml:space="preserve"> </w:t>
      </w:r>
      <w:r w:rsidR="002555AD" w:rsidRPr="00783CBA">
        <w:rPr>
          <w:rFonts w:cstheme="minorHAnsi"/>
          <w:color w:val="333333"/>
          <w:shd w:val="clear" w:color="auto" w:fill="FFFFFF"/>
        </w:rPr>
        <w:t>sc</w:t>
      </w:r>
      <w:r w:rsidR="00D079BA" w:rsidRPr="00783CBA">
        <w:rPr>
          <w:rFonts w:cstheme="minorHAnsi"/>
          <w:color w:val="333333"/>
          <w:shd w:val="clear" w:color="auto" w:fill="FFFFFF"/>
        </w:rPr>
        <w:t>heme.</w:t>
      </w:r>
      <w:r w:rsidR="002555AD" w:rsidRPr="00783CBA">
        <w:rPr>
          <w:rFonts w:cstheme="minorHAnsi"/>
          <w:color w:val="333333"/>
          <w:shd w:val="clear" w:color="auto" w:fill="FFFFFF"/>
        </w:rPr>
        <w:t xml:space="preserve"> In case of any dispute, </w:t>
      </w:r>
      <w:r w:rsidR="009A6F81">
        <w:rPr>
          <w:rFonts w:cstheme="minorHAnsi"/>
          <w:color w:val="333333"/>
          <w:shd w:val="clear" w:color="auto" w:fill="FFFFFF"/>
        </w:rPr>
        <w:t>our</w:t>
      </w:r>
      <w:r w:rsidR="002555AD" w:rsidRPr="00783CBA">
        <w:rPr>
          <w:rFonts w:cstheme="minorHAnsi"/>
          <w:color w:val="333333"/>
          <w:shd w:val="clear" w:color="auto" w:fill="FFFFFF"/>
        </w:rPr>
        <w:t xml:space="preserve"> decision shall be final.</w:t>
      </w:r>
    </w:p>
    <w:p w14:paraId="45FF2EB3" w14:textId="06C6EA8C" w:rsidR="008037E3" w:rsidRPr="00783CBA" w:rsidRDefault="008037E3" w:rsidP="002555AD">
      <w:pPr>
        <w:pStyle w:val="a3"/>
        <w:numPr>
          <w:ilvl w:val="0"/>
          <w:numId w:val="14"/>
        </w:numPr>
        <w:ind w:leftChars="0"/>
        <w:rPr>
          <w:rFonts w:cstheme="minorHAnsi"/>
          <w:color w:val="333333"/>
          <w:shd w:val="clear" w:color="auto" w:fill="FFFFFF"/>
        </w:rPr>
      </w:pPr>
      <w:r w:rsidRPr="00783CBA">
        <w:rPr>
          <w:rFonts w:eastAsia="DengXian" w:cstheme="minorHAnsi"/>
          <w:color w:val="333333"/>
          <w:shd w:val="clear" w:color="auto" w:fill="FFFFFF"/>
          <w:lang w:eastAsia="zh-CN"/>
        </w:rPr>
        <w:t xml:space="preserve">If </w:t>
      </w:r>
      <w:r w:rsidR="001900B7">
        <w:rPr>
          <w:rFonts w:eastAsia="DengXian" w:cstheme="minorHAnsi"/>
          <w:color w:val="333333"/>
          <w:shd w:val="clear" w:color="auto" w:fill="FFFFFF"/>
          <w:lang w:eastAsia="zh-CN"/>
        </w:rPr>
        <w:t>our</w:t>
      </w:r>
      <w:r w:rsidRPr="00783CBA">
        <w:rPr>
          <w:rFonts w:eastAsia="DengXian" w:cstheme="minorHAnsi"/>
          <w:color w:val="333333"/>
          <w:shd w:val="clear" w:color="auto" w:fill="FFFFFF"/>
          <w:lang w:eastAsia="zh-CN"/>
        </w:rPr>
        <w:t xml:space="preserve"> listed</w:t>
      </w:r>
      <w:r w:rsidR="00D51567">
        <w:rPr>
          <w:rFonts w:eastAsia="DengXian" w:cstheme="minorHAnsi"/>
          <w:color w:val="333333"/>
          <w:shd w:val="clear" w:color="auto" w:fill="FFFFFF"/>
          <w:lang w:eastAsia="zh-CN"/>
        </w:rPr>
        <w:t xml:space="preserve"> interest</w:t>
      </w:r>
      <w:r w:rsidRPr="00783CBA">
        <w:rPr>
          <w:rFonts w:eastAsia="DengXian" w:cstheme="minorHAnsi"/>
          <w:color w:val="333333"/>
          <w:shd w:val="clear" w:color="auto" w:fill="FFFFFF"/>
          <w:lang w:eastAsia="zh-CN"/>
        </w:rPr>
        <w:t xml:space="preserve"> rate is adjusted before the maturity date of the time deposit, </w:t>
      </w:r>
      <w:r w:rsidR="00212027" w:rsidRPr="00783CBA">
        <w:rPr>
          <w:rFonts w:eastAsia="DengXian" w:cstheme="minorHAnsi"/>
          <w:color w:val="333333"/>
          <w:shd w:val="clear" w:color="auto" w:fill="FFFFFF"/>
          <w:lang w:eastAsia="zh-CN"/>
        </w:rPr>
        <w:t xml:space="preserve">the </w:t>
      </w:r>
      <w:r w:rsidR="001900B7">
        <w:rPr>
          <w:rFonts w:cstheme="minorHAnsi"/>
          <w:color w:val="333333"/>
          <w:shd w:val="clear" w:color="auto" w:fill="FFFFFF"/>
        </w:rPr>
        <w:t>i</w:t>
      </w:r>
      <w:r w:rsidR="00212027" w:rsidRPr="00783CBA">
        <w:rPr>
          <w:rFonts w:cstheme="minorHAnsi"/>
          <w:color w:val="333333"/>
          <w:shd w:val="clear" w:color="auto" w:fill="FFFFFF"/>
        </w:rPr>
        <w:t xml:space="preserve">nterest rate of the time deposit </w:t>
      </w:r>
      <w:r w:rsidR="00D51567">
        <w:rPr>
          <w:rFonts w:cstheme="minorHAnsi"/>
          <w:color w:val="333333"/>
          <w:shd w:val="clear" w:color="auto" w:fill="FFFFFF"/>
        </w:rPr>
        <w:t xml:space="preserve">made </w:t>
      </w:r>
      <w:r w:rsidR="00212027" w:rsidRPr="00783CBA">
        <w:rPr>
          <w:rFonts w:cstheme="minorHAnsi"/>
          <w:color w:val="333333"/>
          <w:shd w:val="clear" w:color="auto" w:fill="FFFFFF"/>
        </w:rPr>
        <w:t>will remain unchanged</w:t>
      </w:r>
      <w:r w:rsidR="001900B7">
        <w:rPr>
          <w:rFonts w:cstheme="minorHAnsi"/>
          <w:color w:val="333333"/>
          <w:shd w:val="clear" w:color="auto" w:fill="FFFFFF"/>
        </w:rPr>
        <w:t xml:space="preserve"> without referring to the </w:t>
      </w:r>
      <w:r w:rsidR="00D51567">
        <w:rPr>
          <w:rFonts w:cstheme="minorHAnsi"/>
          <w:color w:val="333333"/>
          <w:shd w:val="clear" w:color="auto" w:fill="FFFFFF"/>
        </w:rPr>
        <w:t xml:space="preserve">interest rate </w:t>
      </w:r>
      <w:r w:rsidR="001900B7">
        <w:rPr>
          <w:rFonts w:cstheme="minorHAnsi"/>
          <w:color w:val="333333"/>
          <w:shd w:val="clear" w:color="auto" w:fill="FFFFFF"/>
        </w:rPr>
        <w:t>adjustments.</w:t>
      </w:r>
      <w:r w:rsidR="00212027" w:rsidRPr="00783CBA">
        <w:rPr>
          <w:rFonts w:cstheme="minorHAnsi"/>
          <w:color w:val="333333"/>
          <w:shd w:val="clear" w:color="auto" w:fill="FFFFFF"/>
        </w:rPr>
        <w:t xml:space="preserve"> </w:t>
      </w:r>
    </w:p>
    <w:p w14:paraId="420454BF" w14:textId="666DB0B0" w:rsidR="00783CBA" w:rsidRPr="00783CBA" w:rsidRDefault="001900B7" w:rsidP="00783CBA">
      <w:pPr>
        <w:pStyle w:val="a3"/>
        <w:numPr>
          <w:ilvl w:val="0"/>
          <w:numId w:val="14"/>
        </w:numPr>
        <w:ind w:leftChars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Limited q</w:t>
      </w:r>
      <w:r w:rsidR="00783CBA" w:rsidRPr="00783CBA">
        <w:rPr>
          <w:rFonts w:cstheme="minorHAnsi"/>
          <w:color w:val="333333"/>
          <w:shd w:val="clear" w:color="auto" w:fill="FFFFFF"/>
        </w:rPr>
        <w:t xml:space="preserve">uota </w:t>
      </w:r>
      <w:r>
        <w:rPr>
          <w:rFonts w:cstheme="minorHAnsi"/>
          <w:color w:val="333333"/>
          <w:shd w:val="clear" w:color="auto" w:fill="FFFFFF"/>
        </w:rPr>
        <w:t>applies</w:t>
      </w:r>
      <w:r w:rsidR="008C0AAF">
        <w:rPr>
          <w:rFonts w:cstheme="minorHAnsi"/>
          <w:color w:val="333333"/>
          <w:shd w:val="clear" w:color="auto" w:fill="FFFFFF"/>
        </w:rPr>
        <w:t xml:space="preserve"> in the above </w:t>
      </w:r>
      <w:proofErr w:type="gramStart"/>
      <w:r w:rsidR="008C0AAF">
        <w:rPr>
          <w:rFonts w:cstheme="minorHAnsi"/>
          <w:color w:val="333333"/>
          <w:shd w:val="clear" w:color="auto" w:fill="FFFFFF"/>
        </w:rPr>
        <w:t>scheme</w:t>
      </w:r>
      <w:proofErr w:type="gramEnd"/>
      <w:r w:rsidR="00783CBA" w:rsidRPr="00783CBA">
        <w:rPr>
          <w:rFonts w:cstheme="minorHAnsi"/>
          <w:color w:val="333333"/>
          <w:shd w:val="clear" w:color="auto" w:fill="FFFFFF"/>
        </w:rPr>
        <w:t xml:space="preserve"> and </w:t>
      </w:r>
      <w:r>
        <w:rPr>
          <w:rFonts w:cstheme="minorHAnsi"/>
          <w:color w:val="333333"/>
          <w:shd w:val="clear" w:color="auto" w:fill="FFFFFF"/>
        </w:rPr>
        <w:t xml:space="preserve">it is </w:t>
      </w:r>
      <w:r w:rsidR="00783CBA" w:rsidRPr="00783CBA">
        <w:rPr>
          <w:rFonts w:cstheme="minorHAnsi"/>
          <w:color w:val="333333"/>
          <w:shd w:val="clear" w:color="auto" w:fill="FFFFFF"/>
        </w:rPr>
        <w:t>available on a first-come-first-served basis.</w:t>
      </w:r>
    </w:p>
    <w:p w14:paraId="00272226" w14:textId="7B6ABBD5" w:rsidR="00D079BA" w:rsidRDefault="00D079BA" w:rsidP="002555AD">
      <w:pPr>
        <w:pStyle w:val="a3"/>
        <w:numPr>
          <w:ilvl w:val="0"/>
          <w:numId w:val="14"/>
        </w:numPr>
        <w:ind w:leftChars="0"/>
        <w:rPr>
          <w:rFonts w:cstheme="minorHAnsi"/>
          <w:color w:val="333333"/>
          <w:shd w:val="clear" w:color="auto" w:fill="FFFFFF"/>
        </w:rPr>
      </w:pPr>
      <w:r w:rsidRPr="00783CBA">
        <w:rPr>
          <w:rFonts w:cstheme="minorHAnsi"/>
          <w:color w:val="333333"/>
          <w:shd w:val="clear" w:color="auto" w:fill="FFFFFF"/>
        </w:rPr>
        <w:t>Should there be any discrepancy between the English and Chinese versions of this promotion material, the Chinese version shall prevail.</w:t>
      </w:r>
    </w:p>
    <w:p w14:paraId="09CECCEF" w14:textId="77777777" w:rsidR="00D079BA" w:rsidRPr="00D079BA" w:rsidRDefault="00D079BA" w:rsidP="00D079BA">
      <w:pPr>
        <w:widowControl/>
        <w:shd w:val="clear" w:color="auto" w:fill="FFFFFF"/>
        <w:spacing w:after="150"/>
        <w:textAlignment w:val="center"/>
        <w:rPr>
          <w:rFonts w:ascii="Helvetica" w:eastAsia="Times New Roman" w:hAnsi="Helvetica" w:cs="Times New Roman"/>
          <w:color w:val="333333"/>
          <w:kern w:val="0"/>
          <w:szCs w:val="24"/>
        </w:rPr>
      </w:pPr>
    </w:p>
    <w:p w14:paraId="708451AD" w14:textId="77777777" w:rsidR="00D079BA" w:rsidRPr="00D079BA" w:rsidRDefault="00D079BA" w:rsidP="00174944">
      <w:pPr>
        <w:rPr>
          <w:rFonts w:eastAsia="DengXian" w:cstheme="minorHAnsi"/>
          <w:bCs/>
          <w:spacing w:val="12"/>
          <w:sz w:val="22"/>
          <w:lang w:eastAsia="zh-CN"/>
        </w:rPr>
      </w:pPr>
    </w:p>
    <w:sectPr w:rsidR="00D079BA" w:rsidRPr="00D079BA" w:rsidSect="00B547EB">
      <w:footerReference w:type="default" r:id="rId9"/>
      <w:pgSz w:w="11906" w:h="16838"/>
      <w:pgMar w:top="426" w:right="707" w:bottom="709" w:left="993" w:header="851" w:footer="2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3AA" w14:textId="77777777" w:rsidR="00F06633" w:rsidRDefault="00F06633" w:rsidP="00C24B0B">
      <w:r>
        <w:separator/>
      </w:r>
    </w:p>
  </w:endnote>
  <w:endnote w:type="continuationSeparator" w:id="0">
    <w:p w14:paraId="746E55A2" w14:textId="77777777" w:rsidR="00F06633" w:rsidRDefault="00F06633" w:rsidP="00C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(一）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599" w14:textId="02174484" w:rsidR="00C24B0B" w:rsidRDefault="00C24B0B">
    <w:pPr>
      <w:pStyle w:val="a7"/>
    </w:pPr>
  </w:p>
  <w:p w14:paraId="76F522E8" w14:textId="77777777" w:rsidR="00C24B0B" w:rsidRDefault="00C24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87D9" w14:textId="77777777" w:rsidR="00F06633" w:rsidRDefault="00F06633" w:rsidP="00C24B0B">
      <w:r>
        <w:separator/>
      </w:r>
    </w:p>
  </w:footnote>
  <w:footnote w:type="continuationSeparator" w:id="0">
    <w:p w14:paraId="0DD0B1FC" w14:textId="77777777" w:rsidR="00F06633" w:rsidRDefault="00F06633" w:rsidP="00C2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4C3"/>
    <w:multiLevelType w:val="multilevel"/>
    <w:tmpl w:val="14A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6289A"/>
    <w:multiLevelType w:val="multilevel"/>
    <w:tmpl w:val="8C8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91BBB"/>
    <w:multiLevelType w:val="hybridMultilevel"/>
    <w:tmpl w:val="1CDA42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9E1888"/>
    <w:multiLevelType w:val="hybridMultilevel"/>
    <w:tmpl w:val="1AAC842A"/>
    <w:lvl w:ilvl="0" w:tplc="C3BA707E">
      <w:start w:val="1"/>
      <w:numFmt w:val="decimal"/>
      <w:lvlText w:val="%1."/>
      <w:lvlJc w:val="left"/>
      <w:pPr>
        <w:ind w:left="490" w:hanging="360"/>
      </w:pPr>
      <w:rPr>
        <w:rFonts w:ascii="DengXian" w:eastAsia="DengXian" w:hAnsi="DengXi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 w15:restartNumberingAfterBreak="0">
    <w:nsid w:val="15EC368D"/>
    <w:multiLevelType w:val="hybridMultilevel"/>
    <w:tmpl w:val="F98AC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508FA"/>
    <w:multiLevelType w:val="multilevel"/>
    <w:tmpl w:val="313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E74CD"/>
    <w:multiLevelType w:val="hybridMultilevel"/>
    <w:tmpl w:val="ECC849A0"/>
    <w:lvl w:ilvl="0" w:tplc="2CD2CD3C">
      <w:start w:val="1"/>
      <w:numFmt w:val="taiwaneseCountingThousand"/>
      <w:lvlText w:val="%1、"/>
      <w:lvlJc w:val="left"/>
      <w:pPr>
        <w:ind w:left="480" w:hanging="48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86FC2"/>
    <w:multiLevelType w:val="hybridMultilevel"/>
    <w:tmpl w:val="5F5CB350"/>
    <w:lvl w:ilvl="0" w:tplc="47C47C5A">
      <w:start w:val="1"/>
      <w:numFmt w:val="bullet"/>
      <w:lvlText w:val=""/>
      <w:lvlJc w:val="left"/>
      <w:pPr>
        <w:ind w:left="480" w:hanging="480"/>
      </w:pPr>
      <w:rPr>
        <w:rFonts w:ascii="Wingdings" w:eastAsia="新細明體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FC052C"/>
    <w:multiLevelType w:val="multilevel"/>
    <w:tmpl w:val="3DC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B734C"/>
    <w:multiLevelType w:val="multilevel"/>
    <w:tmpl w:val="17E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B3CC0"/>
    <w:multiLevelType w:val="hybridMultilevel"/>
    <w:tmpl w:val="B778F41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905DA0"/>
    <w:multiLevelType w:val="multilevel"/>
    <w:tmpl w:val="85E04176"/>
    <w:styleLink w:val="1"/>
    <w:lvl w:ilvl="0">
      <w:start w:val="1"/>
      <w:numFmt w:val="taiwaneseCountingThousand"/>
      <w:lvlText w:val="%1."/>
      <w:lvlJc w:val="left"/>
      <w:pPr>
        <w:ind w:left="1682" w:hanging="480"/>
      </w:pPr>
      <w:rPr>
        <w:rFonts w:eastAsia="(一）" w:hint="eastAsia"/>
      </w:rPr>
    </w:lvl>
    <w:lvl w:ilvl="1">
      <w:start w:val="1"/>
      <w:numFmt w:val="ideographTraditional"/>
      <w:lvlText w:val="%2、"/>
      <w:lvlJc w:val="left"/>
      <w:pPr>
        <w:ind w:left="2162" w:hanging="480"/>
      </w:pPr>
    </w:lvl>
    <w:lvl w:ilvl="2">
      <w:start w:val="1"/>
      <w:numFmt w:val="lowerRoman"/>
      <w:lvlText w:val="%3."/>
      <w:lvlJc w:val="right"/>
      <w:pPr>
        <w:ind w:left="2642" w:hanging="480"/>
      </w:pPr>
    </w:lvl>
    <w:lvl w:ilvl="3">
      <w:start w:val="1"/>
      <w:numFmt w:val="decimal"/>
      <w:lvlText w:val="%4."/>
      <w:lvlJc w:val="left"/>
      <w:pPr>
        <w:ind w:left="3122" w:hanging="480"/>
      </w:pPr>
    </w:lvl>
    <w:lvl w:ilvl="4">
      <w:start w:val="1"/>
      <w:numFmt w:val="ideographTraditional"/>
      <w:lvlText w:val="%5、"/>
      <w:lvlJc w:val="left"/>
      <w:pPr>
        <w:ind w:left="3602" w:hanging="480"/>
      </w:pPr>
    </w:lvl>
    <w:lvl w:ilvl="5">
      <w:start w:val="1"/>
      <w:numFmt w:val="lowerRoman"/>
      <w:lvlText w:val="%6."/>
      <w:lvlJc w:val="right"/>
      <w:pPr>
        <w:ind w:left="4082" w:hanging="480"/>
      </w:pPr>
    </w:lvl>
    <w:lvl w:ilvl="6">
      <w:start w:val="1"/>
      <w:numFmt w:val="decimal"/>
      <w:lvlText w:val="%7."/>
      <w:lvlJc w:val="left"/>
      <w:pPr>
        <w:ind w:left="4562" w:hanging="480"/>
      </w:pPr>
    </w:lvl>
    <w:lvl w:ilvl="7">
      <w:start w:val="1"/>
      <w:numFmt w:val="ideographTraditional"/>
      <w:lvlText w:val="%8、"/>
      <w:lvlJc w:val="left"/>
      <w:pPr>
        <w:ind w:left="5042" w:hanging="480"/>
      </w:pPr>
    </w:lvl>
    <w:lvl w:ilvl="8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54A637DD"/>
    <w:multiLevelType w:val="hybridMultilevel"/>
    <w:tmpl w:val="BAF26CF6"/>
    <w:lvl w:ilvl="0" w:tplc="5B68FB9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C33505"/>
    <w:multiLevelType w:val="hybridMultilevel"/>
    <w:tmpl w:val="A044D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6"/>
    <w:rsid w:val="000748D5"/>
    <w:rsid w:val="00110659"/>
    <w:rsid w:val="00174944"/>
    <w:rsid w:val="001900B7"/>
    <w:rsid w:val="001E79DD"/>
    <w:rsid w:val="00202A74"/>
    <w:rsid w:val="00212027"/>
    <w:rsid w:val="002555AD"/>
    <w:rsid w:val="00363112"/>
    <w:rsid w:val="00396C20"/>
    <w:rsid w:val="003D2806"/>
    <w:rsid w:val="00422128"/>
    <w:rsid w:val="004926FC"/>
    <w:rsid w:val="006447A2"/>
    <w:rsid w:val="0067178F"/>
    <w:rsid w:val="006B7E30"/>
    <w:rsid w:val="006E1B24"/>
    <w:rsid w:val="00774213"/>
    <w:rsid w:val="00783CBA"/>
    <w:rsid w:val="007D0FE3"/>
    <w:rsid w:val="008037E3"/>
    <w:rsid w:val="00825189"/>
    <w:rsid w:val="008259AD"/>
    <w:rsid w:val="00884BDC"/>
    <w:rsid w:val="008C0AAF"/>
    <w:rsid w:val="00926122"/>
    <w:rsid w:val="009A6F81"/>
    <w:rsid w:val="009C1846"/>
    <w:rsid w:val="009D5F5C"/>
    <w:rsid w:val="00A01575"/>
    <w:rsid w:val="00AB2978"/>
    <w:rsid w:val="00AD6A62"/>
    <w:rsid w:val="00B547EB"/>
    <w:rsid w:val="00B65DA2"/>
    <w:rsid w:val="00B7325A"/>
    <w:rsid w:val="00BA2F65"/>
    <w:rsid w:val="00BB3FDB"/>
    <w:rsid w:val="00C24B0B"/>
    <w:rsid w:val="00C47849"/>
    <w:rsid w:val="00C5590C"/>
    <w:rsid w:val="00D079BA"/>
    <w:rsid w:val="00D51567"/>
    <w:rsid w:val="00EC5BE6"/>
    <w:rsid w:val="00EE7250"/>
    <w:rsid w:val="00F06633"/>
    <w:rsid w:val="00F13D9F"/>
    <w:rsid w:val="00F26856"/>
    <w:rsid w:val="00F74139"/>
    <w:rsid w:val="00F75FE6"/>
    <w:rsid w:val="00FB234A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F219E"/>
  <w15:chartTrackingRefBased/>
  <w15:docId w15:val="{005CEDD7-41D7-48FA-90D2-366E0D8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AB297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A2F65"/>
    <w:pPr>
      <w:ind w:leftChars="200" w:left="480"/>
    </w:pPr>
  </w:style>
  <w:style w:type="table" w:styleId="a4">
    <w:name w:val="Table Grid"/>
    <w:basedOn w:val="a1"/>
    <w:uiPriority w:val="39"/>
    <w:rsid w:val="00BA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4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4B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嚴淑君-香港分行-永豐銀行</dc:creator>
  <cp:keywords/>
  <dc:description/>
  <cp:lastModifiedBy>嚴淑君-香港分行-永豐銀行</cp:lastModifiedBy>
  <cp:revision>15</cp:revision>
  <cp:lastPrinted>2023-05-12T07:50:00Z</cp:lastPrinted>
  <dcterms:created xsi:type="dcterms:W3CDTF">2023-04-21T07:42:00Z</dcterms:created>
  <dcterms:modified xsi:type="dcterms:W3CDTF">2023-05-17T08:15:00Z</dcterms:modified>
</cp:coreProperties>
</file>